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Аннотации</w:t>
        <w:br/>
        <w:t xml:space="preserve">рабочих программ учебных предметов дополнпительной предпрофессиональной общеобразовательной программы </w:t>
        <w:br/>
        <w:t>«Струнные инструменты»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lang w:val="ru-RU"/>
        </w:rPr>
      </w:pPr>
      <w:r>
        <w:rPr>
          <w:rFonts w:ascii="Times New Roman" w:hAnsi="Times New Roman"/>
          <w:b w:val="false"/>
          <w:bCs w:val="false"/>
          <w:lang w:val="ru-RU"/>
        </w:rPr>
        <w:t xml:space="preserve">Рабочие программы учебных предметов дополнительной предпрофессиональной общеобразовательной программы струнные инструменты составлены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с учетом федеральных государственных требований (далее — ФГТ)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«Струнные инструменты» и сроку обучения по этой программе (Приказ Министерства культуры РФ от 12.03.2012 №164).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Все рабочие программы содержат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необходимые для организации занятий параметры: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сведения о затратах учебного времени, предусмотренного на освоение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распределение учебного материала по годам обучения;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описание дидактических единиц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требования к уровню подготовки обучающихся;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формы и методы контроля, система оценок;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методическое обеспечение учебного процесса.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«Специальиость (скрипка)»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(скрипка)»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«Специльность (скрипка) направлен на приобретение обучающимися знаний, умений и навыков игры на скрипке, получение ими художественного образования, а также на эстетическое воспитание и духовно-нравственное развитие ученика.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8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59"/>
        <w:gridCol w:w="1478"/>
      </w:tblGrid>
      <w:tr>
        <w:trPr/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1315,5</w:t>
            </w:r>
          </w:p>
        </w:tc>
      </w:tr>
      <w:tr>
        <w:trPr/>
        <w:tc>
          <w:tcPr>
            <w:tcW w:w="8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592</w:t>
            </w:r>
          </w:p>
        </w:tc>
      </w:tr>
      <w:tr>
        <w:trPr/>
        <w:tc>
          <w:tcPr>
            <w:tcW w:w="8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723,5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на скрипке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ПО.01.УП.02 «Ансамбль»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ПО.01.УП.02 «Ансамбль»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следующих знаний, умений и навыков: формирование комплекса умений и навыков в области коллективного творчества (ансамблевое исполнительство), позволяющего демонстрировать в ансамблевой игре единство исполнительских намерений и реализацию исполнительского замысла; знание камерного репертуара различных отечественных и зарубежных композиторов, способствующее формированию способности к сотворческому исполнительству на разнообразной литературе; знание основных направлений камерно-инструментальной музыки - эпохи барокко, венской классики, романтизма, русской музыки XIX века, отечественной и зарубежной музыки XX века; формирование навыков по решению музыкально-исполнительских задач ансамблевого исполнительства, обусловленных художественным содержанием, стилем музыкального произведения, жанром и особенностями его формы.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5 лет (с 4 по 8 классы). Срок освоения можнт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48"/>
        <w:gridCol w:w="1589"/>
      </w:tblGrid>
      <w:tr>
        <w:trPr/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</w:tr>
      <w:tr>
        <w:trPr/>
        <w:tc>
          <w:tcPr>
            <w:tcW w:w="8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>
        <w:trPr/>
        <w:tc>
          <w:tcPr>
            <w:tcW w:w="8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мелкогрупповая (от 2-х до 10 человек)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 «Специальность и чтение с листа»: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сформировать комплекс умений и навыков в области коллективного музицирования (ансамблевого исполнительства), позволяющего демонстрировать единство исполнительских намерений и реализацию исполнительского замысла.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  <w:u w:val="none"/>
          <w:lang w:val="ru-RU"/>
        </w:rPr>
      </w:pPr>
      <w:r>
        <w:rPr>
          <w:b/>
          <w:bCs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  <w:u w:val="single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ПО.01.УП.03 «Фортепиано»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ПО.01.УП.03 «Фортепиано»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«Фортепиано» направлен на приобретение обучающимися знаний, умений и навыков игры на фортепиано, получение ими художественного образования, а также на эстетическое воспитание и духовнонравственное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7 лет (со 2-го по 8-й класс)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49"/>
        <w:gridCol w:w="1588"/>
      </w:tblGrid>
      <w:tr>
        <w:trPr>
          <w:trHeight w:val="346" w:hRule="atLeast"/>
        </w:trPr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</w:tr>
      <w:tr>
        <w:trPr/>
        <w:tc>
          <w:tcPr>
            <w:tcW w:w="80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</w:tr>
      <w:tr>
        <w:trPr/>
        <w:tc>
          <w:tcPr>
            <w:tcW w:w="80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642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 «Специальность и чтение с листа»: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  <w:u w:val="single"/>
          <w:lang w:val="ru-RU"/>
        </w:rPr>
      </w:r>
    </w:p>
    <w:p>
      <w:pPr>
        <w:pStyle w:val="Body1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 w:eastAsia="Helvetica"/>
          <w:b w:val="false"/>
          <w:b w:val="false"/>
          <w:bCs w:val="false"/>
          <w:sz w:val="24"/>
          <w:szCs w:val="24"/>
          <w:lang w:val="ru-RU"/>
        </w:rPr>
      </w:pPr>
      <w:r>
        <w:rPr>
          <w:rFonts w:eastAsia="Helvetica" w:ascii="Times New Roman" w:hAnsi="Times New Roman"/>
          <w:b/>
          <w:bCs/>
          <w:sz w:val="24"/>
          <w:szCs w:val="24"/>
          <w:lang w:val="ru-RU"/>
        </w:rPr>
        <w:t>ПО.01.УП.04 «Хоровой класс»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ПО.01.УП.04 «Хоровой класс»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духовнонравственное развитие ученика, на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8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59"/>
        <w:gridCol w:w="1478"/>
      </w:tblGrid>
      <w:tr>
        <w:trPr/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>
        <w:trPr/>
        <w:tc>
          <w:tcPr>
            <w:tcW w:w="8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>
        <w:trPr/>
        <w:tc>
          <w:tcPr>
            <w:tcW w:w="8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групповая (от 11 человек). 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u w:val="none"/>
        </w:rPr>
        <w:t xml:space="preserve">развитие музыкально-творческих способностей обучающихся на основе приобретённых ими знаний, умений и навыков в области хорового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  <w:u w:val="single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ПО.02.УП.01 «Сольфеджио»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ПО.02.УП.01 «Сольфеджио» входит в обязательную часть, в предметную область «Теория и история музыки»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«Сольфеджио» направлен на: развивтие музыкальных данных  (слуха, памяти, ритма); выявление творческих задатков учеников; знакомство с теоретическими основами музыкального искусства; расширение музыкального кругозора; формирование музыкального вкуса; пробуждение любви к музыке.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8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 «Сольфеджио»: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59"/>
        <w:gridCol w:w="1478"/>
      </w:tblGrid>
      <w:tr>
        <w:trPr/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641,5</w:t>
            </w:r>
          </w:p>
        </w:tc>
      </w:tr>
      <w:tr>
        <w:trPr/>
        <w:tc>
          <w:tcPr>
            <w:tcW w:w="8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378,5</w:t>
            </w:r>
          </w:p>
        </w:tc>
      </w:tr>
      <w:tr>
        <w:trPr/>
        <w:tc>
          <w:tcPr>
            <w:tcW w:w="8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sz w:val="28"/>
          <w:szCs w:val="28"/>
          <w:lang w:val="ru-RU"/>
        </w:rPr>
      </w:pPr>
      <w:r>
        <w:rPr>
          <w:rFonts w:eastAsia="Helvetica" w:ascii="Times New Roman" w:hAnsi="Times New Roman"/>
          <w:sz w:val="28"/>
          <w:szCs w:val="28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ПО.02.УП.02 «Слушание музыки»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«Слушание музыки» входит в обязательную часть, в предметную область «Теория и история музыки»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3 года (1-3 годы обучения)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60"/>
        <w:gridCol w:w="1477"/>
      </w:tblGrid>
      <w:tr>
        <w:trPr/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>
        <w:trPr/>
        <w:tc>
          <w:tcPr>
            <w:tcW w:w="8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>
        <w:trPr/>
        <w:tc>
          <w:tcPr>
            <w:tcW w:w="8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br/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ПО.02.УП.03 «Музыкальная литература»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«Музыкальная литература» входит в обязательную часть, в предметную область «Теория и история музыки» дополнительной предпрофессиональной общеобразовательной программы «Струнные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«Музыкальная литература»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4 года (4-8 классы).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828"/>
        <w:gridCol w:w="1809"/>
      </w:tblGrid>
      <w:tr>
        <w:trPr/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</w:tr>
      <w:tr>
        <w:trPr/>
        <w:tc>
          <w:tcPr>
            <w:tcW w:w="7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</w:tr>
      <w:tr>
        <w:trPr/>
        <w:tc>
          <w:tcPr>
            <w:tcW w:w="7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5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1">
    <w:name w:val="Body 1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ヒラギノ角ゴ Pro W3" w:cs="Mangal"/>
      <w:color w:val="000000"/>
      <w:kern w:val="2"/>
      <w:sz w:val="24"/>
      <w:szCs w:val="24"/>
      <w:lang w:val="en-US" w:eastAsia="hi-IN" w:bidi="hi-IN"/>
    </w:rPr>
  </w:style>
  <w:style w:type="numbering" w:styleId="Style21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LibreOffice/7.3.3.2$Windows_X86_64 LibreOffice_project/d1d0ea68f081ee2800a922cac8f79445e4603348</Application>
  <AppVersion>15.0000</AppVersion>
  <Pages>4</Pages>
  <Words>1193</Words>
  <Characters>9384</Characters>
  <CharactersWithSpaces>10505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2022-06-07T10:19:30Z</dcterms:created>
  <dc:creator/>
  <dc:description/>
  <dc:language>ru-RU</dc:language>
  <cp:lastModifiedBy/>
  <dcterms:modified xsi:type="dcterms:W3CDTF">2022-06-09T11:20:08Z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