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pPr w:horzAnchor="margin" w:tblpX="-1257" w:vertAnchor="text" w:tblpY="-7" w:leftFromText="0" w:topFromText="0" w:rightFromText="180" w:bottomFromText="0"/>
        <w:tblW w:w="9701" w:type="dxa"/>
        <w:tblInd w:w="108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615"/>
        <w:gridCol w:w="6086"/>
      </w:tblGrid>
      <w:tr>
        <w:tblPrEx/>
        <w:trPr>
          <w:trHeight w:val="419"/>
        </w:trPr>
        <w:tc>
          <w:tcPr>
            <w:gridSpan w:val="2"/>
            <w:tcW w:w="9701" w:type="dxa"/>
            <w:textDirection w:val="lrTb"/>
            <w:noWrap w:val="false"/>
          </w:tcPr>
          <w:p>
            <w:pPr>
              <w:pStyle w:val="68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/>
            <w:bookmarkStart w:id="0" w:name="undefined"/>
            <w:r/>
            <w:bookmarkEnd w:id="0"/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Государственное бюджетное учреждение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pStyle w:val="68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дополнительного образования города Москвы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pStyle w:val="68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"Детская музыкальная школа № 76"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pStyle w:val="685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pStyle w:val="685"/>
              <w:jc w:val="center"/>
              <w:spacing w:before="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jc w:val="center"/>
              <w:spacing w:before="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535"/>
        </w:trPr>
        <w:tc>
          <w:tcPr>
            <w:tcW w:w="3615" w:type="dxa"/>
            <w:textDirection w:val="lrTb"/>
            <w:noWrap w:val="false"/>
          </w:tcPr>
          <w:p>
            <w:pPr>
              <w:pStyle w:val="685"/>
              <w:jc w:val="center"/>
              <w:spacing w:before="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ПРИНЯТО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jc w:val="center"/>
              <w:spacing w:before="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заседании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jc w:val="center"/>
              <w:spacing w:before="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педагогического совета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jc w:val="center"/>
              <w:spacing w:before="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ГБУДО г. Москвы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jc w:val="center"/>
              <w:spacing w:before="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"ДМШ № 76"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jc w:val="center"/>
              <w:spacing w:before="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Протокол № 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jc w:val="center"/>
              <w:spacing w:before="0"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" 26" августа 2025г.</w:t>
            </w:r>
            <w:r/>
          </w:p>
        </w:tc>
        <w:tc>
          <w:tcPr>
            <w:tcW w:w="6086" w:type="dxa"/>
            <w:textDirection w:val="lrTb"/>
            <w:noWrap w:val="false"/>
          </w:tcPr>
          <w:tbl>
            <w:tblPr>
              <w:tblpPr w:horzAnchor="page" w:tblpX="1618" w:vertAnchor="text" w:tblpY="73" w:leftFromText="180" w:topFromText="0" w:rightFromText="180" w:bottomFromText="0"/>
              <w:tblW w:w="5000" w:type="pct"/>
              <w:tblInd w:w="108" w:type="dxa"/>
              <w:tblLayout w:type="fixed"/>
              <w:tblCellMar>
                <w:left w:w="108" w:type="dxa"/>
                <w:top w:w="0" w:type="dxa"/>
                <w:right w:w="108" w:type="dxa"/>
                <w:bottom w:w="0" w:type="dxa"/>
              </w:tblCellMar>
              <w:tblLook w:val="04A0" w:firstRow="1" w:lastRow="0" w:firstColumn="1" w:lastColumn="0" w:noHBand="0" w:noVBand="1"/>
            </w:tblPr>
            <w:tblGrid>
              <w:gridCol w:w="5490"/>
            </w:tblGrid>
            <w:tr>
              <w:tblPrEx/>
              <w:trPr>
                <w:trHeight w:val="216"/>
              </w:trPr>
              <w:tc>
                <w:tcPr>
                  <w:tcW w:w="5490" w:type="dxa"/>
                  <w:textDirection w:val="lrTb"/>
                  <w:noWrap w:val="false"/>
                </w:tcPr>
                <w:p>
                  <w:pPr>
                    <w:pStyle w:val="685"/>
                    <w:jc w:val="center"/>
                    <w:spacing w:before="0"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Утверждаю: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  <w:p>
                  <w:pPr>
                    <w:pStyle w:val="685"/>
                    <w:jc w:val="center"/>
                    <w:spacing w:before="0"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Директор ГБУДО г. Москвы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  <w:p>
                  <w:pPr>
                    <w:pStyle w:val="685"/>
                    <w:jc w:val="center"/>
                    <w:spacing w:before="0"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"ДМШ № 76"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  <w:p>
                  <w:pPr>
                    <w:pStyle w:val="685"/>
                    <w:jc w:val="center"/>
                    <w:spacing w:before="0"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_______________ О. Е. Кревченко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</w:r>
                </w:p>
                <w:p>
                  <w:pPr>
                    <w:pStyle w:val="685"/>
                    <w:jc w:val="center"/>
                    <w:spacing w:before="0" w:after="0" w:line="240" w:lineRule="auto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Приказ № 12/ОД</w:t>
                  </w:r>
                  <w:r/>
                </w:p>
                <w:p>
                  <w:pPr>
                    <w:pStyle w:val="685"/>
                    <w:jc w:val="center"/>
                    <w:spacing w:before="0" w:after="0" w:line="240" w:lineRule="auto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от «26» августа 2025г.</w:t>
                  </w:r>
                  <w:r/>
                </w:p>
                <w:p>
                  <w:pPr>
                    <w:pStyle w:val="685"/>
                    <w:ind w:right="0" w:firstLine="1343"/>
                    <w:spacing w:before="0" w:after="200" w:line="240" w:lineRule="auto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r>
                </w:p>
              </w:tc>
            </w:tr>
          </w:tbl>
          <w:p>
            <w:pPr>
              <w:pStyle w:val="685"/>
              <w:jc w:val="center"/>
              <w:spacing w:before="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ind w:left="1167" w:right="0"/>
              <w:jc w:val="center"/>
              <w:spacing w:before="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582"/>
        </w:trPr>
        <w:tc>
          <w:tcPr>
            <w:gridSpan w:val="2"/>
            <w:tcW w:w="9701" w:type="dxa"/>
            <w:vAlign w:val="center"/>
            <w:textDirection w:val="lrTb"/>
            <w:noWrap w:val="false"/>
          </w:tcPr>
          <w:p>
            <w:pPr>
              <w:pStyle w:val="685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32"/>
                <w:szCs w:val="32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32"/>
                <w:szCs w:val="32"/>
              </w:rPr>
            </w:r>
          </w:p>
        </w:tc>
      </w:tr>
    </w:tbl>
    <w:p>
      <w:pPr>
        <w:pStyle w:val="685"/>
        <w:jc w:val="center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85"/>
        <w:jc w:val="center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85"/>
        <w:jc w:val="center"/>
        <w:spacing w:before="0" w:after="0" w:line="240" w:lineRule="auto"/>
        <w:widowControl w:val="off"/>
        <w:rPr>
          <w:rFonts w:ascii="Times New Roman" w:hAnsi="Times New Roman" w:eastAsia="Times New Roman" w:cs="Times New Roman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sz w:val="32"/>
          <w:szCs w:val="32"/>
          <w:lang w:eastAsia="ru-RU"/>
        </w:rPr>
        <w:t xml:space="preserve">ДОПОЛНИТЕЛЬНАЯ ОБЩЕРАЗВИВАЮЩАЯ ОБЩЕОБРАЗОВАТЕЛЬНАЯ ПРОГРАММА </w:t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</w:p>
    <w:p>
      <w:pPr>
        <w:pStyle w:val="685"/>
        <w:jc w:val="center"/>
        <w:spacing w:before="0" w:after="0" w:line="240" w:lineRule="auto"/>
        <w:widowControl w:val="off"/>
        <w:rPr>
          <w:rFonts w:ascii="Times New Roman" w:hAnsi="Times New Roman" w:eastAsia="Times New Roman" w:cs="Times New Roman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sz w:val="32"/>
          <w:szCs w:val="32"/>
          <w:lang w:eastAsia="ru-RU"/>
        </w:rPr>
        <w:t xml:space="preserve">ХУДОЖЕСТВЕННО – ЭСТЕТИЧЕСКОЙ НАПРАВЛЕННОСТИ </w:t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</w:p>
    <w:p>
      <w:pPr>
        <w:pStyle w:val="685"/>
        <w:jc w:val="center"/>
        <w:spacing w:line="240" w:lineRule="auto"/>
        <w:rPr>
          <w:rFonts w:ascii="Times New Roman" w:hAnsi="Times New Roman" w:eastAsia="Times New Roman" w:cs="Times New Roman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  <w:t xml:space="preserve">«Группа раннего развития детей»</w:t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</w:p>
    <w:p>
      <w:pPr>
        <w:pStyle w:val="685"/>
        <w:jc w:val="center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32"/>
          <w:szCs w:val="32"/>
          <w:lang w:eastAsia="ru-RU"/>
        </w:rPr>
        <w:t xml:space="preserve">(платные образовательные услуги)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85"/>
        <w:jc w:val="center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85"/>
        <w:jc w:val="center"/>
        <w:spacing w:before="0" w:after="0" w:line="240" w:lineRule="auto"/>
        <w:widowControl w:val="o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pStyle w:val="685"/>
        <w:spacing w:line="240" w:lineRule="auto"/>
        <w:rPr>
          <w:rFonts w:ascii="Times New Roman" w:hAnsi="Times New Roman" w:eastAsia="Times New Roman" w:cs="Times New Roman"/>
          <w:b/>
          <w:bCs/>
          <w:color w:val="00000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32"/>
          <w:szCs w:val="32"/>
          <w:lang w:eastAsia="ru-RU"/>
        </w:rPr>
      </w:r>
    </w:p>
    <w:p>
      <w:pPr>
        <w:pStyle w:val="685"/>
        <w:spacing w:line="240" w:lineRule="auto"/>
        <w:rPr>
          <w:rFonts w:ascii="Times New Roman" w:hAnsi="Times New Roman" w:eastAsia="Times New Roman" w:cs="Times New Roman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sz w:val="32"/>
          <w:szCs w:val="32"/>
          <w:lang w:eastAsia="ru-RU"/>
        </w:rPr>
        <w:t xml:space="preserve">Срок реализации – 1 год</w:t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</w:p>
    <w:p>
      <w:pPr>
        <w:pStyle w:val="685"/>
        <w:spacing w:line="240" w:lineRule="auto"/>
        <w:rPr>
          <w:rFonts w:ascii="Times New Roman" w:hAnsi="Times New Roman" w:eastAsia="Times New Roman" w:cs="Times New Roman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sz w:val="32"/>
          <w:szCs w:val="32"/>
          <w:lang w:eastAsia="ru-RU"/>
        </w:rPr>
        <w:t xml:space="preserve">Возраст учащихся – 3-4 года (продолжающая группа)</w:t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</w:p>
    <w:p>
      <w:pPr>
        <w:pStyle w:val="685"/>
        <w:spacing w:line="240" w:lineRule="auto"/>
        <w:rPr>
          <w:rFonts w:ascii="Times New Roman" w:hAnsi="Times New Roman" w:eastAsia="Times New Roman" w:cs="Times New Roman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sz w:val="32"/>
          <w:szCs w:val="32"/>
          <w:lang w:eastAsia="ru-RU"/>
        </w:rPr>
        <w:t xml:space="preserve">Составитель – Ветренко М.А.</w:t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</w:p>
    <w:p>
      <w:pPr>
        <w:pStyle w:val="685"/>
        <w:ind w:right="0" w:hanging="142"/>
        <w:jc w:val="both"/>
        <w:spacing w:line="240" w:lineRule="auto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pStyle w:val="685"/>
        <w:ind w:right="0" w:hanging="142"/>
        <w:jc w:val="both"/>
        <w:spacing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85"/>
        <w:ind w:right="0" w:hanging="142"/>
        <w:jc w:val="both"/>
        <w:spacing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85"/>
        <w:jc w:val="center"/>
        <w:spacing w:before="0" w:after="0" w:line="240" w:lineRule="auto"/>
        <w:widowControl w:val="off"/>
        <w:rPr>
          <w:rFonts w:ascii="Times New Roman" w:hAnsi="Times New Roman" w:eastAsia="DejaVu Serif Condensed;Calibri" w:cs="Times New Roman"/>
          <w:sz w:val="28"/>
          <w:szCs w:val="28"/>
          <w:lang w:eastAsia="ar-SA"/>
        </w:rPr>
      </w:pPr>
      <w:r>
        <w:rPr>
          <w:rFonts w:ascii="Times New Roman" w:hAnsi="Times New Roman" w:eastAsia="DejaVu Serif Condensed;Calibri" w:cs="Times New Roman"/>
          <w:sz w:val="28"/>
          <w:szCs w:val="28"/>
          <w:lang w:eastAsia="ar-SA"/>
        </w:rPr>
        <w:t xml:space="preserve">2025-2026 учебный год</w:t>
      </w:r>
      <w:r>
        <w:rPr>
          <w:rFonts w:ascii="Times New Roman" w:hAnsi="Times New Roman" w:eastAsia="DejaVu Serif Condensed;Calibri" w:cs="Times New Roman"/>
          <w:sz w:val="28"/>
          <w:szCs w:val="28"/>
          <w:lang w:eastAsia="ar-SA"/>
        </w:rPr>
      </w:r>
    </w:p>
    <w:p>
      <w:pPr>
        <w:pStyle w:val="685"/>
        <w:jc w:val="center"/>
        <w:spacing w:before="0" w:after="0" w:line="240" w:lineRule="auto"/>
        <w:widowControl w:val="off"/>
        <w:rPr>
          <w:rFonts w:ascii="Times New Roman" w:hAnsi="Times New Roman" w:eastAsia="DejaVu Serif Condensed;Calibri" w:cs="Times New Roman"/>
          <w:sz w:val="28"/>
          <w:szCs w:val="28"/>
          <w:lang w:eastAsia="ar-SA"/>
        </w:rPr>
        <w:sectPr>
          <w:footerReference w:type="default" r:id="rId9"/>
          <w:footnotePr/>
          <w:endnotePr/>
          <w:type w:val="nextPage"/>
          <w:pgSz w:w="11906" w:h="16838" w:orient="portrait"/>
          <w:pgMar w:top="1134" w:right="850" w:bottom="1134" w:left="1701" w:header="0" w:footer="708" w:gutter="0"/>
          <w:pgNumType w:start="1"/>
          <w:cols w:num="1" w:sep="0" w:space="1701" w:equalWidth="1"/>
          <w:docGrid w:linePitch="360"/>
        </w:sectPr>
      </w:pPr>
      <w:r>
        <w:rPr>
          <w:rFonts w:ascii="Times New Roman" w:hAnsi="Times New Roman" w:eastAsia="DejaVu Serif Condensed;Calibri" w:cs="Times New Roman"/>
          <w:sz w:val="28"/>
          <w:szCs w:val="28"/>
          <w:lang w:eastAsia="ar-SA"/>
        </w:rPr>
      </w:r>
      <w:r>
        <w:rPr>
          <w:rFonts w:ascii="Times New Roman" w:hAnsi="Times New Roman" w:eastAsia="DejaVu Serif Condensed;Calibri" w:cs="Times New Roman"/>
          <w:sz w:val="28"/>
          <w:szCs w:val="28"/>
          <w:lang w:eastAsia="ar-SA"/>
        </w:rPr>
      </w:r>
    </w:p>
    <w:p>
      <w:pPr>
        <w:pStyle w:val="685"/>
        <w:contextualSpacing/>
        <w:jc w:val="both"/>
        <w:spacing w:before="0" w:after="160" w:line="36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DejaVu Serif Condensed;Calibri" w:cs="Times New Roman"/>
          <w:b/>
          <w:sz w:val="28"/>
          <w:szCs w:val="28"/>
        </w:rPr>
        <w:t xml:space="preserve">Структура программы учебного предмета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85"/>
        <w:contextualSpacing/>
        <w:jc w:val="both"/>
        <w:spacing w:before="0" w:after="16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DejaVu Serif Condensed;Calibri" w:cs="Times New Roman"/>
          <w:b/>
          <w:sz w:val="28"/>
          <w:szCs w:val="28"/>
          <w:lang w:val="en-US"/>
        </w:rPr>
        <w:t xml:space="preserve">I</w:t>
      </w:r>
      <w:r>
        <w:rPr>
          <w:rFonts w:ascii="Times New Roman" w:hAnsi="Times New Roman" w:eastAsia="DejaVu Serif Condensed;Calibri" w:cs="Times New Roman"/>
          <w:b/>
          <w:sz w:val="28"/>
          <w:szCs w:val="28"/>
        </w:rPr>
        <w:t xml:space="preserve">.  Пояснительная записка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685"/>
        <w:contextualSpacing/>
        <w:jc w:val="both"/>
        <w:spacing w:before="0" w:after="16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- Характеристика учебного предмета, его место и роль в образовательном процессе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85"/>
        <w:contextualSpacing/>
        <w:jc w:val="both"/>
        <w:spacing w:before="0" w:after="16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-  Срок реализации учебного предмета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85"/>
        <w:contextualSpacing/>
        <w:jc w:val="both"/>
        <w:spacing w:before="0" w:after="16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- Объем учебного времени, предусмотренный учебным планом образовательной организации на реализацию учебного предмета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85"/>
        <w:contextualSpacing/>
        <w:jc w:val="both"/>
        <w:spacing w:before="0" w:after="16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- Сведения о затратах учебного времени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85"/>
        <w:contextualSpacing/>
        <w:jc w:val="both"/>
        <w:spacing w:before="0" w:after="16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- Форма проведения учебных аудиторных занятий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85"/>
        <w:contextualSpacing/>
        <w:jc w:val="both"/>
        <w:spacing w:before="0" w:after="16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- Цели и задачи учебного предмета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85"/>
        <w:contextualSpacing/>
        <w:jc w:val="both"/>
        <w:spacing w:before="0" w:after="16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- Структура программы учебного предмета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85"/>
        <w:contextualSpacing/>
        <w:jc w:val="both"/>
        <w:spacing w:before="0" w:after="16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- Методы обучения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85"/>
        <w:contextualSpacing/>
        <w:jc w:val="both"/>
        <w:spacing w:before="0" w:after="16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- Описание материально-технических условий реализации учебного предмета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85"/>
        <w:numPr>
          <w:ilvl w:val="0"/>
          <w:numId w:val="4"/>
        </w:numPr>
        <w:contextualSpacing/>
        <w:jc w:val="both"/>
        <w:spacing w:before="0"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DejaVu Serif Condensed;Calibri" w:cs="Times New Roman"/>
          <w:b/>
          <w:sz w:val="28"/>
          <w:szCs w:val="28"/>
        </w:rPr>
        <w:t xml:space="preserve">Содержание учебного предмета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685"/>
        <w:contextualSpacing/>
        <w:ind w:left="360" w:right="0"/>
        <w:jc w:val="both"/>
        <w:spacing w:before="0" w:after="16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    </w:t>
      </w: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- Учебно-тематический план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85"/>
        <w:contextualSpacing/>
        <w:ind w:left="360" w:right="0"/>
        <w:jc w:val="both"/>
        <w:spacing w:before="0" w:after="16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- Годовые требования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85"/>
        <w:numPr>
          <w:ilvl w:val="0"/>
          <w:numId w:val="4"/>
        </w:numPr>
        <w:contextualSpacing/>
        <w:jc w:val="both"/>
        <w:spacing w:before="0"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DejaVu Serif Condensed;Calibri" w:cs="Times New Roman"/>
          <w:b/>
          <w:sz w:val="28"/>
          <w:szCs w:val="28"/>
        </w:rPr>
        <w:t xml:space="preserve">Требования к уровню подготовки учащихся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685"/>
        <w:ind w:left="1140" w:right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-  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Требования к уровню подготовки на различных этапах обучения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685"/>
        <w:contextualSpacing/>
        <w:ind w:left="1140" w:right="0"/>
        <w:jc w:val="both"/>
        <w:spacing w:before="0" w:after="0" w:line="36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pStyle w:val="685"/>
        <w:numPr>
          <w:ilvl w:val="0"/>
          <w:numId w:val="4"/>
        </w:numPr>
        <w:contextualSpacing/>
        <w:jc w:val="both"/>
        <w:spacing w:before="0"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DejaVu Serif Condensed;Calibri" w:cs="Times New Roman"/>
          <w:b/>
          <w:sz w:val="28"/>
          <w:szCs w:val="28"/>
        </w:rPr>
        <w:t xml:space="preserve">Методическое обеспечение учебного процесса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685"/>
        <w:ind w:left="1140" w:righ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- 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Методические рекомендации преподавателям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685"/>
        <w:ind w:left="1140" w:righ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-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Рекомендации по организации самостоятельной работе обучающегося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685"/>
        <w:numPr>
          <w:ilvl w:val="0"/>
          <w:numId w:val="4"/>
        </w:numPr>
        <w:contextualSpacing/>
        <w:jc w:val="both"/>
        <w:spacing w:before="0"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eastAsia="DejaVu Serif Condensed;Calibri" w:cs="Times New Roman"/>
          <w:b/>
          <w:sz w:val="28"/>
          <w:szCs w:val="28"/>
        </w:rPr>
        <w:t xml:space="preserve">Список учебной и методической литературы 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685"/>
        <w:contextualSpacing/>
        <w:jc w:val="both"/>
        <w:spacing w:before="0" w:after="16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- Список рекомендуемой учебной литературы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85"/>
        <w:contextualSpacing/>
        <w:jc w:val="both"/>
        <w:spacing w:before="0" w:after="16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- Список рекомендуемой методической литературы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04"/>
        <w:jc w:val="center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04"/>
        <w:jc w:val="center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04"/>
        <w:jc w:val="center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85"/>
        <w:numPr>
          <w:ilvl w:val="0"/>
          <w:numId w:val="10"/>
        </w:numPr>
        <w:jc w:val="center"/>
        <w:spacing w:line="360" w:lineRule="auto"/>
        <w:rPr>
          <w:rFonts w:ascii="Times New Roman" w:hAnsi="Times New Roman" w:eastAsia="DejaVu Serif Condensed;Calibri" w:cs="Times New Roman"/>
          <w:sz w:val="28"/>
          <w:szCs w:val="28"/>
        </w:rPr>
      </w:pP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Пояснительная записка</w:t>
      </w:r>
      <w:r>
        <w:rPr>
          <w:rFonts w:ascii="Times New Roman" w:hAnsi="Times New Roman" w:eastAsia="DejaVu Serif Condensed;Calibri" w:cs="Times New Roman"/>
          <w:sz w:val="28"/>
          <w:szCs w:val="28"/>
        </w:rPr>
      </w:r>
    </w:p>
    <w:p>
      <w:pPr>
        <w:pStyle w:val="685"/>
        <w:ind w:left="1080" w:right="0"/>
        <w:jc w:val="center"/>
        <w:spacing w:line="360" w:lineRule="auto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Характеристика учебного процесса, его место 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</w:r>
    </w:p>
    <w:p>
      <w:pPr>
        <w:pStyle w:val="685"/>
        <w:ind w:left="1080" w:right="0"/>
        <w:jc w:val="center"/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и роль в образовательном процессе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685"/>
        <w:ind w:right="0" w:firstLine="709"/>
        <w:jc w:val="both"/>
        <w:spacing w:line="360" w:lineRule="auto"/>
        <w:rPr>
          <w:rFonts w:ascii="Times New Roman" w:hAnsi="Times New Roman" w:eastAsia="DejaVu Serif Condensed;Calibri" w:cs="Times New Roman"/>
          <w:sz w:val="28"/>
          <w:szCs w:val="28"/>
        </w:rPr>
      </w:pP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Программа учебного предмета «Группа раннего развития детей» (платные </w:t>
      </w: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образовательные услуги) является авторской разработкой, отвечающей актуальным вызовам времени. Она предназначена для занятий музицированием с детьми 3 - 4 лет. Программа является модифицированной. Заложенное в основу программы сочетание принципов музыкальн</w:t>
      </w: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ой педагогики Карла Орфа, Золтана Кодая, Эмиля Жак-Далькроза, Пьера ван Хауве и достижений отечественной детской музыкальной педагогики Льва Виноградова, Татьяны Тютюнниковой, Вячеслава Жилина позволяет с большой эффективностью решить поставленные задачи.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eastAsia="DejaVu Serif Condensed;Calibri" w:cs="Times New Roman"/>
          <w:sz w:val="28"/>
          <w:szCs w:val="28"/>
        </w:rPr>
      </w:r>
    </w:p>
    <w:p>
      <w:pPr>
        <w:pStyle w:val="804"/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Программа имеет художественно - эстетическую направленность, у</w:t>
      </w: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читывает возрастные и индивидуальные особенности обучающихся. Программа разработана с учетом обеспечения преемственности настоящей дополнительной общеразвивающей программы и дополнительных предпрофессиональных и общеразвивающих программ, реализуемых в ДМШ.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04"/>
        <w:ind w:right="0" w:firstLine="709"/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Занятия способствуют прививанию первоначальных навыков совместного творческого музицирования, развитию голосовых данных, совершенствованию музыкального слуха, развитию ритмического чувства.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85"/>
        <w:jc w:val="center"/>
        <w:spacing w:line="360" w:lineRule="auto"/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Срок реализации учебного предмета</w:t>
      </w:r>
      <w:r/>
    </w:p>
    <w:p>
      <w:pPr>
        <w:pStyle w:val="685"/>
        <w:ind w:right="0" w:firstLine="709"/>
        <w:jc w:val="both"/>
        <w:spacing w:line="360" w:lineRule="auto"/>
      </w:pPr>
      <w:r>
        <w:rPr>
          <w:rFonts w:ascii="Times New Roman" w:hAnsi="Times New Roman" w:eastAsia="Times New Roman" w:cs="Times New Roman"/>
          <w:i/>
          <w:color w:val="000000"/>
          <w:sz w:val="28"/>
          <w:szCs w:val="28"/>
        </w:rPr>
        <w:t xml:space="preserve">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 реализации программы учебного предмета «</w:t>
      </w:r>
      <w:r>
        <w:rPr>
          <w:rFonts w:ascii="Times New Roman" w:hAnsi="Times New Roman" w:cs="Times New Roman"/>
          <w:sz w:val="28"/>
          <w:szCs w:val="28"/>
        </w:rPr>
        <w:t xml:space="preserve">Группа раннего развития детей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в возрасте 3-4 лет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со сроком обучения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год, продолжительность учебных занятий составляет 36 недель в год.</w:t>
      </w:r>
      <w:r/>
    </w:p>
    <w:p>
      <w:pPr>
        <w:pStyle w:val="685"/>
        <w:ind w:right="0" w:firstLine="709"/>
        <w:jc w:val="both"/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685"/>
        <w:jc w:val="center"/>
      </w:pPr>
      <w:r>
        <w:t xml:space="preserve">Сведения о затратах учебного времени</w:t>
      </w:r>
      <w:r/>
    </w:p>
    <w:tbl>
      <w:tblPr>
        <w:tblW w:w="9540" w:type="dxa"/>
        <w:tblInd w:w="0" w:type="dxa"/>
        <w:tblLayout w:type="fixed"/>
        <w:tblCellMar>
          <w:left w:w="100" w:type="dxa"/>
          <w:top w:w="100" w:type="dxa"/>
          <w:right w:w="100" w:type="dxa"/>
          <w:bottom w:w="100" w:type="dxa"/>
        </w:tblCellMar>
        <w:tblLook w:val="04A0" w:firstRow="1" w:lastRow="0" w:firstColumn="1" w:lastColumn="0" w:noHBand="0" w:noVBand="1"/>
      </w:tblPr>
      <w:tblGrid>
        <w:gridCol w:w="3180"/>
        <w:gridCol w:w="3180"/>
        <w:gridCol w:w="3180"/>
      </w:tblGrid>
      <w:tr>
        <w:tblPrEx/>
        <w:trPr>
          <w:trHeight w:val="480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180" w:type="dxa"/>
            <w:textDirection w:val="lrTb"/>
            <w:noWrap w:val="false"/>
          </w:tcPr>
          <w:p>
            <w:pPr>
              <w:pStyle w:val="685"/>
              <w:spacing w:before="0" w:after="160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Вид учебной работы, нагрузки, аттестации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6360" w:type="dxa"/>
            <w:textDirection w:val="lrTb"/>
            <w:noWrap w:val="false"/>
          </w:tcPr>
          <w:p>
            <w:pPr>
              <w:pStyle w:val="685"/>
              <w:jc w:val="center"/>
              <w:spacing w:before="0" w:after="160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Затраты учебного времени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180" w:type="dxa"/>
            <w:textDirection w:val="lrTb"/>
            <w:noWrap w:val="false"/>
          </w:tcPr>
          <w:p>
            <w:pPr>
              <w:pStyle w:val="685"/>
              <w:spacing w:before="0" w:after="160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Полугодия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180" w:type="dxa"/>
            <w:textDirection w:val="lrTb"/>
            <w:noWrap w:val="false"/>
          </w:tcPr>
          <w:p>
            <w:pPr>
              <w:pStyle w:val="685"/>
              <w:spacing w:before="0" w:after="160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180" w:type="dxa"/>
            <w:textDirection w:val="lrTb"/>
            <w:noWrap w:val="false"/>
          </w:tcPr>
          <w:p>
            <w:pPr>
              <w:pStyle w:val="685"/>
              <w:spacing w:before="0" w:after="160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180" w:type="dxa"/>
            <w:textDirection w:val="lrTb"/>
            <w:noWrap w:val="false"/>
          </w:tcPr>
          <w:p>
            <w:pPr>
              <w:pStyle w:val="685"/>
              <w:spacing w:before="0" w:after="160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недель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180" w:type="dxa"/>
            <w:textDirection w:val="lrTb"/>
            <w:noWrap w:val="false"/>
          </w:tcPr>
          <w:p>
            <w:pPr>
              <w:pStyle w:val="685"/>
              <w:spacing w:before="0" w:after="160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17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180" w:type="dxa"/>
            <w:textDirection w:val="lrTb"/>
            <w:noWrap w:val="false"/>
          </w:tcPr>
          <w:p>
            <w:pPr>
              <w:pStyle w:val="685"/>
              <w:spacing w:before="0" w:after="160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180" w:type="dxa"/>
            <w:textDirection w:val="lrTb"/>
            <w:noWrap w:val="false"/>
          </w:tcPr>
          <w:p>
            <w:pPr>
              <w:pStyle w:val="685"/>
              <w:spacing w:before="0" w:after="160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Аудиторные занятия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180" w:type="dxa"/>
            <w:textDirection w:val="lrTb"/>
            <w:noWrap w:val="false"/>
          </w:tcPr>
          <w:p>
            <w:pPr>
              <w:pStyle w:val="685"/>
              <w:spacing w:before="0" w:after="160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17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180" w:type="dxa"/>
            <w:textDirection w:val="lrTb"/>
            <w:noWrap w:val="false"/>
          </w:tcPr>
          <w:p>
            <w:pPr>
              <w:pStyle w:val="685"/>
              <w:spacing w:before="0" w:after="160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180" w:type="dxa"/>
            <w:textDirection w:val="lrTb"/>
            <w:noWrap w:val="false"/>
          </w:tcPr>
          <w:p>
            <w:pPr>
              <w:pStyle w:val="685"/>
              <w:spacing w:before="0" w:after="160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180" w:type="dxa"/>
            <w:textDirection w:val="lrTb"/>
            <w:noWrap w:val="false"/>
          </w:tcPr>
          <w:p>
            <w:pPr>
              <w:pStyle w:val="685"/>
              <w:spacing w:before="0" w:after="160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Всего часов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180" w:type="dxa"/>
            <w:textDirection w:val="lrTb"/>
            <w:noWrap w:val="false"/>
          </w:tcPr>
          <w:p>
            <w:pPr>
              <w:pStyle w:val="685"/>
              <w:spacing w:before="0" w:after="160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36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Style w:val="68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85"/>
        <w:jc w:val="center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/>
      <w:bookmarkStart w:id="1" w:name="_Hlk214364220"/>
      <w:r/>
      <w:bookmarkEnd w:id="1"/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Объем учебного времени, предусмотренный учебным планом образовательной организации на реализацию учебного предмета</w:t>
      </w:r>
      <w:r>
        <w:rPr>
          <w:rFonts w:ascii="Times New Roman" w:hAnsi="Times New Roman" w:cs="Times New Roman"/>
          <w:color w:val="000000"/>
          <w:sz w:val="24"/>
          <w:szCs w:val="24"/>
        </w:rPr>
      </w:r>
    </w:p>
    <w:p>
      <w:pPr>
        <w:pStyle w:val="685"/>
        <w:ind w:right="0" w:firstLine="709"/>
        <w:jc w:val="both"/>
        <w:spacing w:line="360" w:lineRule="auto"/>
        <w:rPr>
          <w:rFonts w:ascii="Times New Roman" w:hAnsi="Times New Roman" w:cs="Times New Roman"/>
          <w:color w:val="ff0000"/>
          <w:sz w:val="28"/>
          <w:szCs w:val="28"/>
        </w:rPr>
      </w:pPr>
      <w:r/>
      <w:bookmarkStart w:id="2" w:name="_Hlk214364220"/>
      <w:r/>
      <w:bookmarkEnd w:id="2"/>
      <w:r>
        <w:rPr>
          <w:rFonts w:ascii="Times New Roman" w:hAnsi="Times New Roman" w:cs="Times New Roman"/>
          <w:color w:val="000000"/>
          <w:sz w:val="28"/>
          <w:szCs w:val="28"/>
        </w:rPr>
        <w:t xml:space="preserve">Общая трудоемкость учебного предмета «</w:t>
      </w:r>
      <w:r>
        <w:rPr>
          <w:rFonts w:ascii="Times New Roman" w:hAnsi="Times New Roman" w:cs="Times New Roman"/>
          <w:sz w:val="28"/>
          <w:szCs w:val="28"/>
        </w:rPr>
        <w:t xml:space="preserve">Саунд дизайн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 при </w:t>
      </w:r>
      <w:r>
        <w:rPr>
          <w:rFonts w:ascii="Times New Roman" w:hAnsi="Times New Roman" w:cs="Times New Roman"/>
          <w:sz w:val="28"/>
          <w:szCs w:val="28"/>
        </w:rPr>
        <w:t xml:space="preserve">одно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летнем сроке обучения составляе</w:t>
      </w:r>
      <w:r>
        <w:rPr>
          <w:rFonts w:ascii="Times New Roman" w:hAnsi="Times New Roman" w:cs="Times New Roman"/>
          <w:sz w:val="28"/>
          <w:szCs w:val="28"/>
        </w:rPr>
        <w:t xml:space="preserve">т 36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часов.  </w:t>
      </w:r>
      <w:r>
        <w:rPr>
          <w:rFonts w:ascii="Times New Roman" w:hAnsi="Times New Roman" w:cs="Times New Roman"/>
          <w:color w:val="ff0000"/>
          <w:sz w:val="28"/>
          <w:szCs w:val="28"/>
        </w:rPr>
      </w:r>
    </w:p>
    <w:p>
      <w:pPr>
        <w:pStyle w:val="685"/>
        <w:ind w:right="0" w:firstLine="709"/>
        <w:jc w:val="both"/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Рекомендуемая недельная нагрузка в часах: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685"/>
        <w:ind w:right="0" w:firstLine="851"/>
        <w:jc w:val="both"/>
        <w:spacing w:line="360" w:lineRule="auto"/>
      </w:pPr>
      <w:r/>
      <w:bookmarkStart w:id="3" w:name="_Hlk214364239"/>
      <w:r/>
      <w:bookmarkEnd w:id="3"/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Аудиторные занятия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:</w:t>
      </w:r>
      <w:r/>
    </w:p>
    <w:p>
      <w:pPr>
        <w:pStyle w:val="685"/>
        <w:numPr>
          <w:ilvl w:val="0"/>
          <w:numId w:val="9"/>
        </w:numPr>
        <w:ind w:left="0" w:right="0" w:firstLine="851"/>
        <w:jc w:val="both"/>
        <w:spacing w:before="240" w:after="0" w:line="360" w:lineRule="auto"/>
        <w:widowControl w:val="o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 час в неделю (45 минут)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25"/>
        <w:spacing w:line="360" w:lineRule="auto"/>
        <w:shd w:val="clear" w:color="auto" w:fill="ffffff"/>
        <w:rPr>
          <w:sz w:val="28"/>
          <w:szCs w:val="28"/>
        </w:rPr>
      </w:pPr>
      <w:r/>
      <w:bookmarkStart w:id="4" w:name="_Hlk214364239"/>
      <w:r/>
      <w:bookmarkEnd w:id="4"/>
      <w:r>
        <w:rPr>
          <w:rFonts w:eastAsia="Calibri"/>
          <w:sz w:val="28"/>
          <w:szCs w:val="28"/>
          <w:lang w:eastAsia="en-US"/>
        </w:rPr>
        <w:t xml:space="preserve">Внеаудиторная самостоятельная работа не предполагается. Итоговой аттестации не предусмотрено. Документ об обучении не выдается.</w:t>
      </w:r>
      <w:r>
        <w:rPr>
          <w:sz w:val="28"/>
          <w:szCs w:val="28"/>
        </w:rPr>
      </w:r>
    </w:p>
    <w:p>
      <w:pPr>
        <w:pStyle w:val="685"/>
        <w:jc w:val="both"/>
        <w:spacing w:line="360" w:lineRule="auto"/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Форма проведения учебных занятий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/>
    </w:p>
    <w:p>
      <w:pPr>
        <w:pStyle w:val="685"/>
        <w:contextualSpacing/>
        <w:jc w:val="both"/>
        <w:spacing w:before="0" w:after="160" w:line="360" w:lineRule="auto"/>
        <w:rPr>
          <w:rFonts w:ascii="Times New Roman" w:hAnsi="Times New Roman" w:eastAsia="DejaVu Serif Condensed;Calibri" w:cs="Times New Roman"/>
          <w:sz w:val="28"/>
          <w:szCs w:val="28"/>
        </w:rPr>
      </w:pP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Занятия проводятся по группам. Состав групп 4 - 10 человек. Урок проводится 1 раз по 45 минут в оборудованном классе для групповых занятий. </w:t>
      </w:r>
      <w:r>
        <w:rPr>
          <w:rFonts w:ascii="Times New Roman" w:hAnsi="Times New Roman" w:eastAsia="DejaVu Serif Condensed;Calibri" w:cs="Times New Roman"/>
          <w:sz w:val="28"/>
          <w:szCs w:val="28"/>
        </w:rPr>
      </w:r>
    </w:p>
    <w:p>
      <w:pPr>
        <w:pStyle w:val="685"/>
        <w:contextualSpacing/>
        <w:jc w:val="both"/>
        <w:spacing w:before="0" w:after="160" w:line="360" w:lineRule="auto"/>
        <w:rPr>
          <w:rFonts w:ascii="Times New Roman" w:hAnsi="Times New Roman" w:eastAsia="DejaVu Serif Condensed;Calibri" w:cs="Times New Roman"/>
          <w:sz w:val="28"/>
          <w:szCs w:val="28"/>
        </w:rPr>
      </w:pPr>
      <w:r>
        <w:rPr>
          <w:rFonts w:ascii="Times New Roman" w:hAnsi="Times New Roman" w:eastAsia="DejaVu Serif Condensed;Calibri" w:cs="Times New Roman"/>
          <w:sz w:val="28"/>
          <w:szCs w:val="28"/>
        </w:rPr>
      </w:r>
      <w:r>
        <w:rPr>
          <w:rFonts w:ascii="Times New Roman" w:hAnsi="Times New Roman" w:eastAsia="DejaVu Serif Condensed;Calibri" w:cs="Times New Roman"/>
          <w:sz w:val="28"/>
          <w:szCs w:val="28"/>
        </w:rPr>
      </w:r>
    </w:p>
    <w:p>
      <w:pPr>
        <w:pStyle w:val="685"/>
        <w:contextualSpacing/>
        <w:jc w:val="both"/>
        <w:spacing w:before="0" w:after="16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85"/>
        <w:contextualSpacing/>
        <w:jc w:val="both"/>
        <w:spacing w:before="0" w:after="16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04"/>
        <w:jc w:val="center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Цель и задачи учебного предмета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85"/>
        <w:ind w:right="0" w:firstLine="709"/>
        <w:jc w:val="both"/>
        <w:spacing w:line="360" w:lineRule="auto"/>
        <w:rPr>
          <w:rFonts w:ascii="Times New Roman" w:hAnsi="Times New Roman" w:eastAsia="DejaVu Serif Condensed;Calibri" w:cs="Times New Roman"/>
          <w:sz w:val="28"/>
          <w:szCs w:val="28"/>
        </w:rPr>
      </w:pPr>
      <w:r>
        <w:rPr>
          <w:rFonts w:ascii="Times New Roman" w:hAnsi="Times New Roman" w:eastAsia="DejaVu Serif Condensed;Calibri" w:cs="Times New Roman"/>
          <w:b/>
          <w:bCs/>
          <w:sz w:val="28"/>
          <w:szCs w:val="28"/>
        </w:rPr>
        <w:t xml:space="preserve">Цель программы</w:t>
      </w: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 – помочь детя</w:t>
      </w: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м дошкольного возраста с помощью музыкально-дидактической игры войти в мир музыки, найти свои собственные формы общения с ней, ощутить и передать ее эмоционально как радость и удовольствие, что способствует практическому усвоению музыкальных знаний в игре.</w:t>
      </w:r>
      <w:r>
        <w:rPr>
          <w:rFonts w:ascii="Times New Roman" w:hAnsi="Times New Roman" w:eastAsia="DejaVu Serif Condensed;Calibri" w:cs="Times New Roman"/>
          <w:sz w:val="28"/>
          <w:szCs w:val="28"/>
        </w:rPr>
      </w:r>
    </w:p>
    <w:p>
      <w:pPr>
        <w:pStyle w:val="822"/>
        <w:ind w:left="709" w:right="0"/>
        <w:jc w:val="center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Задачи учебного предмета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22"/>
        <w:numPr>
          <w:ilvl w:val="0"/>
          <w:numId w:val="6"/>
        </w:numPr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развитие слуховых и телесных ощущений равномерной метрической пульсации (в музыке умеренного темпа),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22"/>
        <w:numPr>
          <w:ilvl w:val="0"/>
          <w:numId w:val="6"/>
        </w:numPr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формирование те</w:t>
      </w: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лесных ощущений выразительных средств музыки через движение и игру: музыкальных темпов (быстро-медленно), контрастной динамики (громко-тихо), контрастной звуковысотности (высоко-низко), контрастных ладов (мажор – минор) через движение, деятельность и игру;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22"/>
        <w:numPr>
          <w:ilvl w:val="0"/>
          <w:numId w:val="6"/>
        </w:numPr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знакомство детей с различными шумовыми инструментами, доступными им для игры: колокольчиками, бубенцами, маракасами, бубнами и т.д.;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22"/>
        <w:numPr>
          <w:ilvl w:val="0"/>
          <w:numId w:val="6"/>
        </w:numPr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развитие основ интонационного слуха в звукоподраж</w:t>
      </w: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ательных музыкальных играх со словом и инструментами; тембрового слуха в играх с инструментами и предметами окружающего мира, использование их в озвучивании стихов и сказок. Формирование эмоционально-радостных ощущений от активного участия в музицировании.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85"/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Сопутствующие задачи: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22"/>
        <w:numPr>
          <w:ilvl w:val="0"/>
          <w:numId w:val="3"/>
        </w:numPr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воспитание и интереса к музицированию,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22"/>
        <w:numPr>
          <w:ilvl w:val="0"/>
          <w:numId w:val="3"/>
        </w:numPr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знакомство с многообразием мировой музыкальной культуры в практике музицирования,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22"/>
        <w:numPr>
          <w:ilvl w:val="0"/>
          <w:numId w:val="3"/>
        </w:numPr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развитие эмоциональности детей как важнейшей основы их внутреннего мира и способности воспринимать, переживать и понимать музыку,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22"/>
        <w:numPr>
          <w:ilvl w:val="0"/>
          <w:numId w:val="3"/>
        </w:numPr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развитие навыков общения, сопереживания, контактности, доброжелательности и взаимоуважения,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22"/>
        <w:numPr>
          <w:ilvl w:val="0"/>
          <w:numId w:val="3"/>
        </w:numPr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формирование качеств самовыражения личности: самостоятельность и свобода выбора, индивидуальность восприятия и самовыражения.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85"/>
        <w:jc w:val="center"/>
        <w:spacing w:line="360" w:lineRule="auto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Структура программы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</w:r>
    </w:p>
    <w:p>
      <w:pPr>
        <w:pStyle w:val="685"/>
        <w:contextualSpacing/>
        <w:jc w:val="both"/>
        <w:spacing w:before="0" w:after="16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Программа содержит следующие разделы: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85"/>
        <w:numPr>
          <w:ilvl w:val="0"/>
          <w:numId w:val="8"/>
        </w:numPr>
        <w:ind w:left="0" w:right="0" w:firstLine="710"/>
        <w:jc w:val="both"/>
        <w:spacing w:before="0" w:after="0" w:line="360" w:lineRule="auto"/>
        <w:tabs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сведения о затратах учебного времени, предусмотренного на освоение учебного предмета;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685"/>
        <w:numPr>
          <w:ilvl w:val="0"/>
          <w:numId w:val="8"/>
        </w:numPr>
        <w:ind w:left="0" w:right="0" w:firstLine="710"/>
        <w:jc w:val="both"/>
        <w:spacing w:before="0" w:after="0" w:line="360" w:lineRule="auto"/>
        <w:tabs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описание дидактических единиц учебного предмета;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685"/>
        <w:numPr>
          <w:ilvl w:val="0"/>
          <w:numId w:val="8"/>
        </w:numPr>
        <w:ind w:left="0" w:right="0" w:firstLine="710"/>
        <w:jc w:val="both"/>
        <w:spacing w:before="0" w:after="0" w:line="360" w:lineRule="auto"/>
        <w:tabs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требования к уровню подготовки учащихся;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685"/>
        <w:numPr>
          <w:ilvl w:val="0"/>
          <w:numId w:val="8"/>
        </w:numPr>
        <w:ind w:left="0" w:right="0" w:firstLine="710"/>
        <w:jc w:val="both"/>
        <w:spacing w:before="0" w:after="0" w:line="360" w:lineRule="auto"/>
        <w:tabs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методическое обеспечение учебного процесса.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685"/>
        <w:jc w:val="both"/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данными направлениями строится основной раздел    программы «Содержание учебного предмета».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685"/>
        <w:ind w:left="710" w:right="0"/>
        <w:jc w:val="both"/>
        <w:spacing w:before="0" w:after="0" w:line="360" w:lineRule="auto"/>
        <w:tabs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685"/>
        <w:contextualSpacing/>
        <w:jc w:val="center"/>
        <w:spacing w:before="0" w:after="160" w:line="360" w:lineRule="auto"/>
        <w:rPr>
          <w:rFonts w:ascii="Times New Roman" w:hAnsi="Times New Roman" w:eastAsia="DejaVu Serif Condensed;Calibri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Методы обучения</w:t>
      </w:r>
      <w:r>
        <w:rPr>
          <w:rFonts w:ascii="Times New Roman" w:hAnsi="Times New Roman" w:eastAsia="DejaVu Serif Condensed;Calibri" w:cs="Times New Roman"/>
          <w:sz w:val="28"/>
          <w:szCs w:val="28"/>
        </w:rPr>
      </w:r>
    </w:p>
    <w:p>
      <w:pPr>
        <w:pStyle w:val="685"/>
        <w:ind w:right="0" w:firstLine="709"/>
        <w:jc w:val="both"/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Для достижения поставленной цели и реализации задач предмета используются следующие методы обучения: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685"/>
        <w:ind w:right="0" w:firstLine="709"/>
        <w:jc w:val="both"/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словесный (объяснение, беседа, рассказ);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685"/>
        <w:ind w:right="0" w:firstLine="709"/>
        <w:jc w:val="both"/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наглядный (показ, наблюдение, демонстрация приемов работы);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685"/>
        <w:ind w:right="0" w:firstLine="709"/>
        <w:jc w:val="both"/>
        <w:spacing w:line="360" w:lineRule="auto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практический (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создание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игровых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ситуаций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);</w:t>
      </w:r>
      <w:r/>
    </w:p>
    <w:p>
      <w:pPr>
        <w:pStyle w:val="685"/>
        <w:ind w:right="0" w:firstLine="709"/>
        <w:jc w:val="both"/>
        <w:spacing w:before="0" w:after="24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эмоциональный (подбор ассоциаций, образов, художественные впечатления).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685"/>
        <w:jc w:val="center"/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Описание материально-технических условий реализации 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685"/>
        <w:jc w:val="center"/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учебного предмета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685"/>
        <w:ind w:right="0" w:firstLine="709"/>
        <w:jc w:val="both"/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Реализация программы обеспечивается: </w:t>
      </w: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помещением, мебелью, фортепиано</w:t>
      </w: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, набором шумовых и орф-инструментов, ковром, мячами. Необходимо, чтобы помещение было с хорошей акустикой и освещением. Для занятий группы должны быть хорошо настроены рояль или пианино в соответствии с принятым стандартом (для первой октавы — 440 герц). 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685"/>
        <w:contextualSpacing/>
        <w:ind w:right="0" w:firstLine="708"/>
        <w:jc w:val="both"/>
        <w:spacing w:before="0" w:after="16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DejaVu Serif Condensed;Calibri" w:cs="Times New Roman"/>
          <w:bCs/>
          <w:sz w:val="28"/>
          <w:szCs w:val="28"/>
        </w:rPr>
        <w:t xml:space="preserve">Учебно-методическими условиями для реализации программы являются</w:t>
      </w: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 наличие: нотной литературы, учебных сборников и пособий и методической литературы.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85"/>
        <w:ind w:right="0" w:firstLine="709"/>
        <w:jc w:val="both"/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Материально-техническая база должна соответствовать санитарным и противопожарным нормам, нормам охраны труда. 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685"/>
        <w:ind w:right="0" w:firstLine="709"/>
        <w:jc w:val="both"/>
        <w:spacing w:before="0" w:after="24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685"/>
        <w:ind w:right="0" w:firstLine="709"/>
        <w:jc w:val="both"/>
        <w:spacing w:before="0" w:after="24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685"/>
        <w:ind w:right="0" w:firstLine="709"/>
        <w:jc w:val="both"/>
        <w:spacing w:before="0" w:after="24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685"/>
        <w:ind w:right="0" w:firstLine="709"/>
        <w:jc w:val="both"/>
        <w:spacing w:before="0" w:after="24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685"/>
        <w:ind w:right="0" w:firstLine="709"/>
        <w:jc w:val="both"/>
        <w:spacing w:before="0" w:after="24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685"/>
        <w:ind w:right="0" w:firstLine="709"/>
        <w:jc w:val="both"/>
        <w:spacing w:before="0" w:after="24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685"/>
        <w:ind w:right="0" w:firstLine="709"/>
        <w:jc w:val="both"/>
        <w:spacing w:before="0" w:after="24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685"/>
        <w:ind w:right="0" w:firstLine="709"/>
        <w:jc w:val="both"/>
        <w:spacing w:before="0" w:after="24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685"/>
        <w:ind w:right="0" w:firstLine="709"/>
        <w:jc w:val="both"/>
        <w:spacing w:before="0" w:after="24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685"/>
        <w:ind w:right="0" w:firstLine="709"/>
        <w:jc w:val="both"/>
        <w:spacing w:before="0" w:after="24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685"/>
        <w:ind w:right="0" w:firstLine="709"/>
        <w:jc w:val="both"/>
        <w:spacing w:before="0" w:after="24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685"/>
        <w:numPr>
          <w:ilvl w:val="0"/>
          <w:numId w:val="10"/>
        </w:numPr>
        <w:jc w:val="center"/>
        <w:spacing w:line="360" w:lineRule="auto"/>
        <w:rPr>
          <w:rFonts w:ascii="Times New Roman" w:hAnsi="Times New Roman" w:eastAsia="DejaVu Serif Condensed;Calibri" w:cs="Times New Roman"/>
          <w:b/>
          <w:bCs/>
          <w:sz w:val="28"/>
          <w:szCs w:val="28"/>
        </w:rPr>
      </w:pPr>
      <w:r>
        <w:rPr>
          <w:rFonts w:ascii="Times New Roman" w:hAnsi="Times New Roman" w:eastAsia="DejaVu Serif Condensed;Calibri" w:cs="Times New Roman"/>
          <w:b/>
          <w:bCs/>
          <w:sz w:val="28"/>
          <w:szCs w:val="28"/>
        </w:rPr>
        <w:t xml:space="preserve">Содержание учебного предмета</w:t>
      </w:r>
      <w:r>
        <w:rPr>
          <w:rFonts w:ascii="Times New Roman" w:hAnsi="Times New Roman" w:eastAsia="DejaVu Serif Condensed;Calibri" w:cs="Times New Roman"/>
          <w:b/>
          <w:bCs/>
          <w:sz w:val="28"/>
          <w:szCs w:val="28"/>
        </w:rPr>
      </w:r>
    </w:p>
    <w:p>
      <w:pPr>
        <w:pStyle w:val="685"/>
        <w:ind w:left="360" w:right="0"/>
        <w:jc w:val="center"/>
        <w:spacing w:line="36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Годовые требования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pStyle w:val="685"/>
        <w:ind w:right="0" w:firstLine="709"/>
        <w:jc w:val="both"/>
        <w:spacing w:line="360" w:lineRule="auto"/>
        <w:rPr>
          <w:rFonts w:ascii="Times New Roman" w:hAnsi="Times New Roman" w:eastAsia="DejaVu Serif Condensed;Calibri" w:cs="Times New Roman"/>
          <w:sz w:val="28"/>
          <w:szCs w:val="28"/>
        </w:rPr>
      </w:pP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Учебная программа по предмету «Группа раннего развития детей» рассчитана на 1 год. В распределении учебного материала учтен принцип систематического и последовательного обучения.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Последовательность в обучении поможет учащимся применять полученные знания и умения в изучении нового материала.  </w:t>
      </w: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На занятиях с первых звуков дети могут сразу включиться в музицирование, без репетиций и подготовки. </w:t>
      </w:r>
      <w:r>
        <w:rPr>
          <w:rFonts w:ascii="Times New Roman" w:hAnsi="Times New Roman" w:eastAsia="DejaVu Serif Condensed;Calibri" w:cs="Times New Roman"/>
          <w:sz w:val="28"/>
          <w:szCs w:val="28"/>
        </w:rPr>
      </w:r>
    </w:p>
    <w:p>
      <w:pPr>
        <w:pStyle w:val="685"/>
        <w:ind w:left="120" w:right="0" w:firstLine="588"/>
        <w:jc w:val="both"/>
        <w:spacing w:line="360" w:lineRule="auto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Содержание учебного предмета соответствует направленности программы на приобщение учащихся к любительскому музицированию и развитию навыков пения.    </w:t>
      </w:r>
      <w:r/>
    </w:p>
    <w:p>
      <w:pPr>
        <w:pStyle w:val="685"/>
        <w:ind w:right="0" w:firstLine="709"/>
        <w:jc w:val="both"/>
        <w:spacing w:line="360" w:lineRule="auto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Годовые требования разработаны с учетом возрастных возможностей, интересов учащихся.</w:t>
      </w:r>
      <w:r/>
    </w:p>
    <w:p>
      <w:pPr>
        <w:pStyle w:val="685"/>
        <w:ind w:right="0" w:firstLine="709"/>
        <w:jc w:val="both"/>
        <w:spacing w:line="360" w:lineRule="auto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Для продвинутых учащихся может разрабатываться и использоваться более высокий уровень сложности программных требований.</w:t>
      </w:r>
      <w:r/>
    </w:p>
    <w:p>
      <w:pPr>
        <w:pStyle w:val="685"/>
        <w:jc w:val="center"/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30"/>
          <w:szCs w:val="30"/>
          <w:u w:val="single"/>
        </w:rPr>
        <w:t xml:space="preserve">Годовые требования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22"/>
        <w:numPr>
          <w:ilvl w:val="0"/>
          <w:numId w:val="7"/>
        </w:numPr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Развивать слуховые и телесные ощущения равномерной метрической пульсации в музыке умеренного темпа.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22"/>
        <w:numPr>
          <w:ilvl w:val="0"/>
          <w:numId w:val="7"/>
        </w:numPr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Научиться выделять акцент (сильной доли) и играть базовую партитуру (сильная доля на фоне пульса).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22"/>
        <w:numPr>
          <w:ilvl w:val="0"/>
          <w:numId w:val="7"/>
        </w:numPr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Развить артикуляционно-телесные и двигательные ощущения элементарных ритмических рисунков.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22"/>
        <w:numPr>
          <w:ilvl w:val="0"/>
          <w:numId w:val="7"/>
        </w:numPr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Уметь оделять на начальном этапе ритм от слова, играть простейшие остинатные фигуры (звучащие жесты) как аккомпанемент к музыке.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22"/>
        <w:numPr>
          <w:ilvl w:val="0"/>
          <w:numId w:val="7"/>
        </w:numPr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Звукоподражать на инструментах явлениям природы и окружающей жизни.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22"/>
        <w:numPr>
          <w:ilvl w:val="0"/>
          <w:numId w:val="7"/>
        </w:numPr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Играть звуками, что является начальной ступенью музыкальной импровизации.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22"/>
        <w:numPr>
          <w:ilvl w:val="0"/>
          <w:numId w:val="7"/>
        </w:numPr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Приобрести элементарные знания, умения и навыки игры на блокфлейте, ансамблевого исполнительства, освоить элементы музыкальной грамоты и терминов.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22"/>
        <w:numPr>
          <w:ilvl w:val="0"/>
          <w:numId w:val="2"/>
        </w:numPr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Формировать элементарные навыки взаимодействия в группе.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22"/>
        <w:jc w:val="both"/>
        <w:spacing w:line="360" w:lineRule="auto"/>
        <w:rPr>
          <w:rFonts w:ascii="Times New Roman" w:hAnsi="Times New Roman" w:eastAsia="DejaVu Serif Condensed;Calibri" w:cs="Times New Roman"/>
          <w:sz w:val="28"/>
          <w:szCs w:val="28"/>
        </w:rPr>
      </w:pPr>
      <w:r>
        <w:rPr>
          <w:rFonts w:ascii="Times New Roman" w:hAnsi="Times New Roman" w:eastAsia="DejaVu Serif Condensed;Calibri" w:cs="Times New Roman"/>
          <w:sz w:val="28"/>
          <w:szCs w:val="28"/>
        </w:rPr>
      </w:r>
      <w:r>
        <w:rPr>
          <w:rFonts w:ascii="Times New Roman" w:hAnsi="Times New Roman" w:eastAsia="DejaVu Serif Condensed;Calibri" w:cs="Times New Roman"/>
          <w:sz w:val="28"/>
          <w:szCs w:val="28"/>
        </w:rPr>
      </w:r>
    </w:p>
    <w:p>
      <w:pPr>
        <w:pStyle w:val="822"/>
        <w:jc w:val="both"/>
        <w:spacing w:line="360" w:lineRule="auto"/>
        <w:rPr>
          <w:rFonts w:ascii="Times New Roman" w:hAnsi="Times New Roman" w:eastAsia="DejaVu Serif Condensed;Calibri" w:cs="Times New Roman"/>
          <w:sz w:val="28"/>
          <w:szCs w:val="28"/>
        </w:rPr>
      </w:pPr>
      <w:r>
        <w:rPr>
          <w:rFonts w:ascii="Times New Roman" w:hAnsi="Times New Roman" w:eastAsia="DejaVu Serif Condensed;Calibri" w:cs="Times New Roman"/>
          <w:sz w:val="28"/>
          <w:szCs w:val="28"/>
        </w:rPr>
      </w:r>
      <w:r>
        <w:rPr>
          <w:rFonts w:ascii="Times New Roman" w:hAnsi="Times New Roman" w:eastAsia="DejaVu Serif Condensed;Calibri" w:cs="Times New Roman"/>
          <w:sz w:val="28"/>
          <w:szCs w:val="28"/>
        </w:rPr>
      </w:r>
    </w:p>
    <w:p>
      <w:pPr>
        <w:pStyle w:val="822"/>
        <w:jc w:val="both"/>
        <w:spacing w:line="360" w:lineRule="auto"/>
        <w:rPr>
          <w:rFonts w:ascii="Times New Roman" w:hAnsi="Times New Roman" w:eastAsia="DejaVu Serif Condensed;Calibri" w:cs="Times New Roman"/>
          <w:sz w:val="28"/>
          <w:szCs w:val="28"/>
        </w:rPr>
      </w:pPr>
      <w:r>
        <w:rPr>
          <w:rFonts w:ascii="Times New Roman" w:hAnsi="Times New Roman" w:eastAsia="DejaVu Serif Condensed;Calibri" w:cs="Times New Roman"/>
          <w:sz w:val="28"/>
          <w:szCs w:val="28"/>
        </w:rPr>
      </w:r>
      <w:r>
        <w:rPr>
          <w:rFonts w:ascii="Times New Roman" w:hAnsi="Times New Roman" w:eastAsia="DejaVu Serif Condensed;Calibri" w:cs="Times New Roman"/>
          <w:sz w:val="28"/>
          <w:szCs w:val="28"/>
        </w:rPr>
      </w:r>
    </w:p>
    <w:p>
      <w:pPr>
        <w:pStyle w:val="822"/>
        <w:jc w:val="both"/>
        <w:spacing w:line="360" w:lineRule="auto"/>
        <w:rPr>
          <w:rFonts w:ascii="Times New Roman" w:hAnsi="Times New Roman" w:eastAsia="DejaVu Serif Condensed;Calibri" w:cs="Times New Roman"/>
          <w:sz w:val="28"/>
          <w:szCs w:val="28"/>
        </w:rPr>
      </w:pPr>
      <w:r>
        <w:rPr>
          <w:rFonts w:ascii="Times New Roman" w:hAnsi="Times New Roman" w:eastAsia="DejaVu Serif Condensed;Calibri" w:cs="Times New Roman"/>
          <w:sz w:val="28"/>
          <w:szCs w:val="28"/>
        </w:rPr>
      </w:r>
      <w:r>
        <w:rPr>
          <w:rFonts w:ascii="Times New Roman" w:hAnsi="Times New Roman" w:eastAsia="DejaVu Serif Condensed;Calibri" w:cs="Times New Roman"/>
          <w:sz w:val="28"/>
          <w:szCs w:val="28"/>
        </w:rPr>
      </w:r>
    </w:p>
    <w:p>
      <w:pPr>
        <w:pStyle w:val="822"/>
        <w:jc w:val="both"/>
        <w:spacing w:line="360" w:lineRule="auto"/>
        <w:rPr>
          <w:rFonts w:ascii="Times New Roman" w:hAnsi="Times New Roman" w:eastAsia="DejaVu Serif Condensed;Calibri" w:cs="Times New Roman"/>
          <w:sz w:val="28"/>
          <w:szCs w:val="28"/>
        </w:rPr>
      </w:pPr>
      <w:r>
        <w:rPr>
          <w:rFonts w:ascii="Times New Roman" w:hAnsi="Times New Roman" w:eastAsia="DejaVu Serif Condensed;Calibri" w:cs="Times New Roman"/>
          <w:sz w:val="28"/>
          <w:szCs w:val="28"/>
        </w:rPr>
      </w:r>
      <w:r>
        <w:rPr>
          <w:rFonts w:ascii="Times New Roman" w:hAnsi="Times New Roman" w:eastAsia="DejaVu Serif Condensed;Calibri" w:cs="Times New Roman"/>
          <w:sz w:val="28"/>
          <w:szCs w:val="28"/>
        </w:rPr>
      </w:r>
    </w:p>
    <w:p>
      <w:pPr>
        <w:pStyle w:val="822"/>
        <w:jc w:val="both"/>
        <w:spacing w:line="360" w:lineRule="auto"/>
        <w:rPr>
          <w:rFonts w:ascii="Times New Roman" w:hAnsi="Times New Roman" w:eastAsia="DejaVu Serif Condensed;Calibri" w:cs="Times New Roman"/>
          <w:sz w:val="28"/>
          <w:szCs w:val="28"/>
        </w:rPr>
      </w:pPr>
      <w:r>
        <w:rPr>
          <w:rFonts w:ascii="Times New Roman" w:hAnsi="Times New Roman" w:eastAsia="DejaVu Serif Condensed;Calibri" w:cs="Times New Roman"/>
          <w:sz w:val="28"/>
          <w:szCs w:val="28"/>
        </w:rPr>
      </w:r>
      <w:r>
        <w:rPr>
          <w:rFonts w:ascii="Times New Roman" w:hAnsi="Times New Roman" w:eastAsia="DejaVu Serif Condensed;Calibri" w:cs="Times New Roman"/>
          <w:sz w:val="28"/>
          <w:szCs w:val="28"/>
        </w:rPr>
      </w:r>
    </w:p>
    <w:p>
      <w:pPr>
        <w:pStyle w:val="822"/>
        <w:jc w:val="both"/>
        <w:spacing w:line="360" w:lineRule="auto"/>
        <w:rPr>
          <w:rFonts w:ascii="Times New Roman" w:hAnsi="Times New Roman" w:eastAsia="DejaVu Serif Condensed;Calibri" w:cs="Times New Roman"/>
          <w:sz w:val="28"/>
          <w:szCs w:val="28"/>
        </w:rPr>
      </w:pPr>
      <w:r>
        <w:rPr>
          <w:rFonts w:ascii="Times New Roman" w:hAnsi="Times New Roman" w:eastAsia="DejaVu Serif Condensed;Calibri" w:cs="Times New Roman"/>
          <w:sz w:val="28"/>
          <w:szCs w:val="28"/>
        </w:rPr>
      </w:r>
      <w:r>
        <w:rPr>
          <w:rFonts w:ascii="Times New Roman" w:hAnsi="Times New Roman" w:eastAsia="DejaVu Serif Condensed;Calibri" w:cs="Times New Roman"/>
          <w:sz w:val="28"/>
          <w:szCs w:val="28"/>
        </w:rPr>
      </w:r>
    </w:p>
    <w:p>
      <w:pPr>
        <w:pStyle w:val="822"/>
        <w:jc w:val="both"/>
        <w:spacing w:line="360" w:lineRule="auto"/>
        <w:rPr>
          <w:rFonts w:ascii="Times New Roman" w:hAnsi="Times New Roman" w:eastAsia="DejaVu Serif Condensed;Calibri" w:cs="Times New Roman"/>
          <w:sz w:val="28"/>
          <w:szCs w:val="28"/>
        </w:rPr>
      </w:pPr>
      <w:r>
        <w:rPr>
          <w:rFonts w:ascii="Times New Roman" w:hAnsi="Times New Roman" w:eastAsia="DejaVu Serif Condensed;Calibri" w:cs="Times New Roman"/>
          <w:sz w:val="28"/>
          <w:szCs w:val="28"/>
        </w:rPr>
      </w:r>
      <w:r>
        <w:rPr>
          <w:rFonts w:ascii="Times New Roman" w:hAnsi="Times New Roman" w:eastAsia="DejaVu Serif Condensed;Calibri" w:cs="Times New Roman"/>
          <w:sz w:val="28"/>
          <w:szCs w:val="28"/>
        </w:rPr>
      </w:r>
    </w:p>
    <w:p>
      <w:pPr>
        <w:pStyle w:val="822"/>
        <w:jc w:val="both"/>
        <w:spacing w:line="360" w:lineRule="auto"/>
        <w:rPr>
          <w:rFonts w:ascii="Times New Roman" w:hAnsi="Times New Roman" w:eastAsia="DejaVu Serif Condensed;Calibri" w:cs="Times New Roman"/>
          <w:sz w:val="28"/>
          <w:szCs w:val="28"/>
        </w:rPr>
      </w:pPr>
      <w:r>
        <w:rPr>
          <w:rFonts w:ascii="Times New Roman" w:hAnsi="Times New Roman" w:eastAsia="DejaVu Serif Condensed;Calibri" w:cs="Times New Roman"/>
          <w:sz w:val="28"/>
          <w:szCs w:val="28"/>
        </w:rPr>
      </w:r>
      <w:r>
        <w:rPr>
          <w:rFonts w:ascii="Times New Roman" w:hAnsi="Times New Roman" w:eastAsia="DejaVu Serif Condensed;Calibri" w:cs="Times New Roman"/>
          <w:sz w:val="28"/>
          <w:szCs w:val="28"/>
        </w:rPr>
      </w:r>
    </w:p>
    <w:p>
      <w:pPr>
        <w:pStyle w:val="822"/>
        <w:jc w:val="both"/>
        <w:spacing w:line="360" w:lineRule="auto"/>
        <w:rPr>
          <w:rFonts w:ascii="Times New Roman" w:hAnsi="Times New Roman" w:eastAsia="DejaVu Serif Condensed;Calibri" w:cs="Times New Roman"/>
          <w:sz w:val="28"/>
          <w:szCs w:val="28"/>
        </w:rPr>
      </w:pPr>
      <w:r>
        <w:rPr>
          <w:rFonts w:ascii="Times New Roman" w:hAnsi="Times New Roman" w:eastAsia="DejaVu Serif Condensed;Calibri" w:cs="Times New Roman"/>
          <w:sz w:val="28"/>
          <w:szCs w:val="28"/>
        </w:rPr>
      </w:r>
      <w:r>
        <w:rPr>
          <w:rFonts w:ascii="Times New Roman" w:hAnsi="Times New Roman" w:eastAsia="DejaVu Serif Condensed;Calibri" w:cs="Times New Roman"/>
          <w:sz w:val="28"/>
          <w:szCs w:val="28"/>
        </w:rPr>
      </w:r>
    </w:p>
    <w:p>
      <w:pPr>
        <w:pStyle w:val="822"/>
        <w:jc w:val="both"/>
        <w:spacing w:line="360" w:lineRule="auto"/>
        <w:rPr>
          <w:rFonts w:ascii="Times New Roman" w:hAnsi="Times New Roman" w:eastAsia="DejaVu Serif Condensed;Calibri" w:cs="Times New Roman"/>
          <w:sz w:val="28"/>
          <w:szCs w:val="28"/>
        </w:rPr>
      </w:pPr>
      <w:r>
        <w:rPr>
          <w:rFonts w:ascii="Times New Roman" w:hAnsi="Times New Roman" w:eastAsia="DejaVu Serif Condensed;Calibri" w:cs="Times New Roman"/>
          <w:sz w:val="28"/>
          <w:szCs w:val="28"/>
        </w:rPr>
      </w:r>
      <w:r>
        <w:rPr>
          <w:rFonts w:ascii="Times New Roman" w:hAnsi="Times New Roman" w:eastAsia="DejaVu Serif Condensed;Calibri" w:cs="Times New Roman"/>
          <w:sz w:val="28"/>
          <w:szCs w:val="28"/>
        </w:rPr>
      </w:r>
    </w:p>
    <w:p>
      <w:pPr>
        <w:pStyle w:val="822"/>
        <w:jc w:val="both"/>
        <w:spacing w:line="360" w:lineRule="auto"/>
        <w:rPr>
          <w:rFonts w:ascii="Times New Roman" w:hAnsi="Times New Roman" w:eastAsia="DejaVu Serif Condensed;Calibri" w:cs="Times New Roman"/>
          <w:sz w:val="28"/>
          <w:szCs w:val="28"/>
        </w:rPr>
      </w:pPr>
      <w:r>
        <w:rPr>
          <w:rFonts w:ascii="Times New Roman" w:hAnsi="Times New Roman" w:eastAsia="DejaVu Serif Condensed;Calibri" w:cs="Times New Roman"/>
          <w:sz w:val="28"/>
          <w:szCs w:val="28"/>
        </w:rPr>
      </w:r>
      <w:r>
        <w:rPr>
          <w:rFonts w:ascii="Times New Roman" w:hAnsi="Times New Roman" w:eastAsia="DejaVu Serif Condensed;Calibri" w:cs="Times New Roman"/>
          <w:sz w:val="28"/>
          <w:szCs w:val="28"/>
        </w:rPr>
      </w:r>
    </w:p>
    <w:p>
      <w:pPr>
        <w:pStyle w:val="822"/>
        <w:jc w:val="both"/>
        <w:spacing w:line="360" w:lineRule="auto"/>
        <w:rPr>
          <w:rFonts w:ascii="Times New Roman" w:hAnsi="Times New Roman" w:eastAsia="DejaVu Serif Condensed;Calibri" w:cs="Times New Roman"/>
          <w:sz w:val="28"/>
          <w:szCs w:val="28"/>
        </w:rPr>
      </w:pPr>
      <w:r>
        <w:rPr>
          <w:rFonts w:ascii="Times New Roman" w:hAnsi="Times New Roman" w:eastAsia="DejaVu Serif Condensed;Calibri" w:cs="Times New Roman"/>
          <w:sz w:val="28"/>
          <w:szCs w:val="28"/>
        </w:rPr>
      </w:r>
      <w:r>
        <w:rPr>
          <w:rFonts w:ascii="Times New Roman" w:hAnsi="Times New Roman" w:eastAsia="DejaVu Serif Condensed;Calibri" w:cs="Times New Roman"/>
          <w:sz w:val="28"/>
          <w:szCs w:val="28"/>
        </w:rPr>
      </w:r>
    </w:p>
    <w:p>
      <w:pPr>
        <w:pStyle w:val="822"/>
        <w:jc w:val="both"/>
        <w:spacing w:line="360" w:lineRule="auto"/>
        <w:rPr>
          <w:rFonts w:ascii="Times New Roman" w:hAnsi="Times New Roman" w:eastAsia="DejaVu Serif Condensed;Calibri" w:cs="Times New Roman"/>
          <w:sz w:val="28"/>
          <w:szCs w:val="28"/>
        </w:rPr>
      </w:pPr>
      <w:r>
        <w:rPr>
          <w:rFonts w:ascii="Times New Roman" w:hAnsi="Times New Roman" w:eastAsia="DejaVu Serif Condensed;Calibri" w:cs="Times New Roman"/>
          <w:sz w:val="28"/>
          <w:szCs w:val="28"/>
        </w:rPr>
      </w:r>
      <w:r>
        <w:rPr>
          <w:rFonts w:ascii="Times New Roman" w:hAnsi="Times New Roman" w:eastAsia="DejaVu Serif Condensed;Calibri" w:cs="Times New Roman"/>
          <w:sz w:val="28"/>
          <w:szCs w:val="28"/>
        </w:rPr>
      </w:r>
    </w:p>
    <w:p>
      <w:pPr>
        <w:pStyle w:val="822"/>
        <w:jc w:val="both"/>
        <w:spacing w:line="360" w:lineRule="auto"/>
        <w:rPr>
          <w:rFonts w:ascii="Times New Roman" w:hAnsi="Times New Roman" w:eastAsia="DejaVu Serif Condensed;Calibri" w:cs="Times New Roman"/>
          <w:sz w:val="28"/>
          <w:szCs w:val="28"/>
        </w:rPr>
      </w:pPr>
      <w:r>
        <w:rPr>
          <w:rFonts w:ascii="Times New Roman" w:hAnsi="Times New Roman" w:eastAsia="DejaVu Serif Condensed;Calibri" w:cs="Times New Roman"/>
          <w:sz w:val="28"/>
          <w:szCs w:val="28"/>
        </w:rPr>
      </w:r>
      <w:r>
        <w:rPr>
          <w:rFonts w:ascii="Times New Roman" w:hAnsi="Times New Roman" w:eastAsia="DejaVu Serif Condensed;Calibri" w:cs="Times New Roman"/>
          <w:sz w:val="28"/>
          <w:szCs w:val="28"/>
        </w:rPr>
      </w:r>
    </w:p>
    <w:p>
      <w:pPr>
        <w:pStyle w:val="822"/>
        <w:jc w:val="both"/>
        <w:spacing w:line="360" w:lineRule="auto"/>
        <w:rPr>
          <w:rFonts w:ascii="Times New Roman" w:hAnsi="Times New Roman" w:eastAsia="DejaVu Serif Condensed;Calibri" w:cs="Times New Roman"/>
          <w:sz w:val="28"/>
          <w:szCs w:val="28"/>
        </w:rPr>
      </w:pPr>
      <w:r>
        <w:rPr>
          <w:rFonts w:ascii="Times New Roman" w:hAnsi="Times New Roman" w:eastAsia="DejaVu Serif Condensed;Calibri" w:cs="Times New Roman"/>
          <w:sz w:val="28"/>
          <w:szCs w:val="28"/>
        </w:rPr>
      </w:r>
      <w:r>
        <w:rPr>
          <w:rFonts w:ascii="Times New Roman" w:hAnsi="Times New Roman" w:eastAsia="DejaVu Serif Condensed;Calibri" w:cs="Times New Roman"/>
          <w:sz w:val="28"/>
          <w:szCs w:val="28"/>
        </w:rPr>
      </w:r>
    </w:p>
    <w:p>
      <w:pPr>
        <w:pStyle w:val="822"/>
        <w:jc w:val="both"/>
        <w:spacing w:line="360" w:lineRule="auto"/>
        <w:rPr>
          <w:rFonts w:ascii="Times New Roman" w:hAnsi="Times New Roman" w:eastAsia="DejaVu Serif Condensed;Calibri" w:cs="Times New Roman"/>
          <w:sz w:val="28"/>
          <w:szCs w:val="28"/>
        </w:rPr>
      </w:pPr>
      <w:r>
        <w:rPr>
          <w:rFonts w:ascii="Times New Roman" w:hAnsi="Times New Roman" w:eastAsia="DejaVu Serif Condensed;Calibri" w:cs="Times New Roman"/>
          <w:sz w:val="28"/>
          <w:szCs w:val="28"/>
        </w:rPr>
      </w:r>
      <w:r>
        <w:rPr>
          <w:rFonts w:ascii="Times New Roman" w:hAnsi="Times New Roman" w:eastAsia="DejaVu Serif Condensed;Calibri" w:cs="Times New Roman"/>
          <w:sz w:val="28"/>
          <w:szCs w:val="28"/>
        </w:rPr>
      </w:r>
    </w:p>
    <w:p>
      <w:pPr>
        <w:pStyle w:val="822"/>
        <w:jc w:val="both"/>
        <w:spacing w:line="360" w:lineRule="auto"/>
        <w:rPr>
          <w:rFonts w:ascii="Times New Roman" w:hAnsi="Times New Roman" w:eastAsia="DejaVu Serif Condensed;Calibri" w:cs="Times New Roman"/>
          <w:sz w:val="28"/>
          <w:szCs w:val="28"/>
        </w:rPr>
      </w:pPr>
      <w:r>
        <w:rPr>
          <w:rFonts w:ascii="Times New Roman" w:hAnsi="Times New Roman" w:eastAsia="DejaVu Serif Condensed;Calibri" w:cs="Times New Roman"/>
          <w:sz w:val="28"/>
          <w:szCs w:val="28"/>
        </w:rPr>
      </w:r>
      <w:r>
        <w:rPr>
          <w:rFonts w:ascii="Times New Roman" w:hAnsi="Times New Roman" w:eastAsia="DejaVu Serif Condensed;Calibri" w:cs="Times New Roman"/>
          <w:sz w:val="28"/>
          <w:szCs w:val="28"/>
        </w:rPr>
      </w:r>
    </w:p>
    <w:p>
      <w:pPr>
        <w:pStyle w:val="822"/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22"/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22"/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22"/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22"/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85"/>
        <w:jc w:val="center"/>
        <w:spacing w:before="0" w:after="0" w:line="360" w:lineRule="auto"/>
        <w:rPr>
          <w:rFonts w:ascii="Times New Roman" w:hAnsi="Times New Roman" w:cs="Times New Roman"/>
          <w:b/>
          <w:i/>
          <w:sz w:val="32"/>
          <w:szCs w:val="28"/>
        </w:rPr>
      </w:pPr>
      <w:r>
        <w:rPr>
          <w:rFonts w:ascii="Times New Roman" w:hAnsi="Times New Roman" w:eastAsia="DejaVu Serif Condensed;Calibri" w:cs="Times New Roman"/>
          <w:b/>
          <w:i/>
          <w:sz w:val="32"/>
          <w:szCs w:val="28"/>
        </w:rPr>
        <w:t xml:space="preserve">Учебно-тематический план</w:t>
      </w:r>
      <w:r>
        <w:rPr>
          <w:rFonts w:ascii="Times New Roman" w:hAnsi="Times New Roman" w:cs="Times New Roman"/>
          <w:b/>
          <w:i/>
          <w:sz w:val="32"/>
          <w:szCs w:val="28"/>
        </w:rPr>
      </w:r>
    </w:p>
    <w:p>
      <w:pPr>
        <w:pStyle w:val="685"/>
        <w:jc w:val="center"/>
        <w:spacing w:before="0" w:after="0"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eastAsia="DejaVu Serif Condensed;Calibri" w:cs="Times New Roman"/>
          <w:i/>
          <w:sz w:val="28"/>
          <w:szCs w:val="28"/>
        </w:rPr>
        <w:t xml:space="preserve">Первое полугодие</w:t>
      </w:r>
      <w:r>
        <w:rPr>
          <w:rFonts w:ascii="Times New Roman" w:hAnsi="Times New Roman" w:cs="Times New Roman"/>
          <w:i/>
          <w:sz w:val="28"/>
          <w:szCs w:val="28"/>
        </w:rPr>
      </w:r>
    </w:p>
    <w:p>
      <w:pPr>
        <w:pStyle w:val="685"/>
        <w:jc w:val="center"/>
        <w:spacing w:before="0" w:after="0" w:line="360" w:lineRule="auto"/>
        <w:rPr>
          <w:rFonts w:ascii="Times New Roman" w:hAnsi="Times New Roman" w:cs="Times New Roman"/>
          <w:b/>
          <w:i/>
          <w:sz w:val="32"/>
          <w:szCs w:val="28"/>
        </w:rPr>
      </w:pPr>
      <w:r>
        <w:rPr>
          <w:rFonts w:ascii="Times New Roman" w:hAnsi="Times New Roman" w:cs="Times New Roman"/>
          <w:b/>
          <w:i/>
          <w:sz w:val="32"/>
          <w:szCs w:val="28"/>
        </w:rPr>
      </w:r>
      <w:r>
        <w:rPr>
          <w:rFonts w:ascii="Times New Roman" w:hAnsi="Times New Roman" w:cs="Times New Roman"/>
          <w:b/>
          <w:i/>
          <w:sz w:val="32"/>
          <w:szCs w:val="28"/>
        </w:rPr>
      </w:r>
    </w:p>
    <w:tbl>
      <w:tblPr>
        <w:tblW w:w="10590" w:type="dxa"/>
        <w:tblInd w:w="-858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973"/>
        <w:gridCol w:w="3171"/>
        <w:gridCol w:w="3550"/>
        <w:gridCol w:w="2896"/>
      </w:tblGrid>
      <w:tr>
        <w:tblPrEx/>
        <w:trPr>
          <w:trHeight w:val="70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3" w:type="dxa"/>
            <w:textDirection w:val="lrTb"/>
            <w:noWrap w:val="false"/>
          </w:tcPr>
          <w:p>
            <w:pPr>
              <w:pStyle w:val="685"/>
              <w:jc w:val="center"/>
              <w:spacing w:before="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урока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71" w:type="dxa"/>
            <w:textDirection w:val="lrTb"/>
            <w:noWrap w:val="false"/>
          </w:tcPr>
          <w:p>
            <w:pPr>
              <w:pStyle w:val="685"/>
              <w:jc w:val="center"/>
              <w:spacing w:before="0" w:after="1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Тема занятия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0" w:type="dxa"/>
            <w:textDirection w:val="lrTb"/>
            <w:noWrap w:val="false"/>
          </w:tcPr>
          <w:p>
            <w:pPr>
              <w:pStyle w:val="685"/>
              <w:jc w:val="center"/>
              <w:spacing w:before="0" w:after="1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Программное содержание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96" w:type="dxa"/>
            <w:textDirection w:val="lrTb"/>
            <w:noWrap w:val="false"/>
          </w:tcPr>
          <w:p>
            <w:pPr>
              <w:pStyle w:val="685"/>
              <w:jc w:val="center"/>
              <w:spacing w:before="0" w:after="1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Репертуар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108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3" w:type="dxa"/>
            <w:textDirection w:val="lrTb"/>
            <w:noWrap w:val="false"/>
          </w:tcPr>
          <w:p>
            <w:pPr>
              <w:pStyle w:val="685"/>
              <w:spacing w:before="0" w:after="1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1-2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71" w:type="dxa"/>
            <w:textDirection w:val="lrTb"/>
            <w:noWrap w:val="false"/>
          </w:tcPr>
          <w:p>
            <w:pPr>
              <w:pStyle w:val="685"/>
              <w:spacing w:before="0" w:after="1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Разучивание попевок с звукоподражанием животных, как первоначальная ступень к развитию интонационного слуха. Звучащие жесты с равномерными метричными похлопываниями по частям тела. Изучение различных тембров инструментов. Движение и активное слушание.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0" w:type="dxa"/>
            <w:textDirection w:val="lrTb"/>
            <w:noWrap w:val="false"/>
          </w:tcPr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Ритмическое проговаривание коротких потешек с звучащими жестами.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Исполнение шумовым оркестром двухчастной польки.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before="0" w:after="1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Игра «шаг, бег, подскоки».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96" w:type="dxa"/>
            <w:textDirection w:val="lrTb"/>
            <w:noWrap w:val="false"/>
          </w:tcPr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Русская народная потешка «Ладушки»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Речевая игра «Зайчик»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Звучащие жесты «Pata-pata».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before="0" w:after="1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Детская полька.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108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3" w:type="dxa"/>
            <w:textDirection w:val="lrTb"/>
            <w:noWrap w:val="false"/>
          </w:tcPr>
          <w:p>
            <w:pPr>
              <w:pStyle w:val="685"/>
              <w:spacing w:before="0" w:after="1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3-4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71" w:type="dxa"/>
            <w:textDirection w:val="lrTb"/>
            <w:noWrap w:val="false"/>
          </w:tcPr>
          <w:p>
            <w:pPr>
              <w:pStyle w:val="685"/>
              <w:spacing w:before="0" w:after="1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Разучивание попевок с звукоподражанием животных, как первоначальная ступень к развитию интонационного слуха. Звучащие жесты с равномерными метричными похлопываниями по частям тела. Импровизация с инструментами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0" w:type="dxa"/>
            <w:textDirection w:val="lrTb"/>
            <w:noWrap w:val="false"/>
          </w:tcPr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Работа над попевками в сочетании с звучащими жестами. Изучение различных тембров инструментов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before="0" w:after="1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96" w:type="dxa"/>
            <w:textDirection w:val="lrTb"/>
            <w:noWrap w:val="false"/>
          </w:tcPr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Русская народная потешка «Сорока-сорока»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Речевая игра «Тюшки - Тютюшки»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Звучащие жесты «Pata-pata».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Детская полька.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before="0" w:after="1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Игра с инструментами «Наш дом»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108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3" w:type="dxa"/>
            <w:textDirection w:val="lrTb"/>
            <w:noWrap w:val="false"/>
          </w:tcPr>
          <w:p>
            <w:pPr>
              <w:pStyle w:val="685"/>
              <w:spacing w:before="0" w:after="1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71" w:type="dxa"/>
            <w:textDirection w:val="lrTb"/>
            <w:noWrap w:val="false"/>
          </w:tcPr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Разучивание попевок со звучащими жестами. Звучащие жесты с равномерным метричным похлопываниям по частям тела и чередованием жестов.  Игра пульса. Импровизация с инструментами.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Голосовые импровизации.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before="0" w:after="1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Звукоподражательные артикуляционные игры.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0" w:type="dxa"/>
            <w:textDirection w:val="lrTb"/>
            <w:noWrap w:val="false"/>
          </w:tcPr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Работа над интонацией и ладовым слухом.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Формирование мышечных представлений о мажоре и миноре (смена динамики движения и его интенсивности).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Работа над артикуляцией.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Развитие реакции и внимания (смена звучащих жестов).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Изучение приема игры метричного постукивания (игра пульса).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Изучение голосовых возможностей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before="0" w:after="1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96" w:type="dxa"/>
            <w:textDirection w:val="lrTb"/>
            <w:noWrap w:val="false"/>
          </w:tcPr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Пение с инструментами русск. нар. потешки«Дождик»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Е. Поплянова «Два утенка».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Речевая игра «Зайчик» с театрализацией.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Исполнение польки «Янка» с ритмичным встряхиванием тамбурина.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Диалоги (рыбка и лягушка).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before="0" w:after="1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Речевая игра – диалог «Джон-зайчик»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108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3" w:type="dxa"/>
            <w:textDirection w:val="lrTb"/>
            <w:noWrap w:val="false"/>
          </w:tcPr>
          <w:p>
            <w:pPr>
              <w:pStyle w:val="685"/>
              <w:spacing w:before="0" w:after="1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6 -7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71" w:type="dxa"/>
            <w:textDirection w:val="lrTb"/>
            <w:noWrap w:val="false"/>
          </w:tcPr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Исполнение небольших песен с движениями.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Игра пульса. Импровизация с инструментами.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Голосовые импровизации.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Звукоподражательные артикуляционные игры.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before="0" w:after="1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Игры с веревкой.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0" w:type="dxa"/>
            <w:textDirection w:val="lrTb"/>
            <w:noWrap w:val="false"/>
          </w:tcPr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Формирование мышечного ощущения равномерной метрической пульсации.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Речевое звукоподражание голосам животных и явлениям природы.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Формирование равномерного движения в зависимости от движения веревки.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before="0" w:after="1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Звучащие жесты с равномерным метричным похлопываниям по частям тела и чередованием жестов.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96" w:type="dxa"/>
            <w:textDirection w:val="lrTb"/>
            <w:noWrap w:val="false"/>
          </w:tcPr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Русск. нар. песня – потешка «Заинька»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Речевая звукоподражательная игра «Капля раз, капля два...»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Речевая игра «прыг-скок».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Игра «Ветер», «Дождик», «Гром».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«У кого какая песня»  А. Жилинскаса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Полька «Янка»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before="0" w:after="1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«Догонять – убегать»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108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3" w:type="dxa"/>
            <w:textDirection w:val="lrTb"/>
            <w:noWrap w:val="false"/>
          </w:tcPr>
          <w:p>
            <w:pPr>
              <w:pStyle w:val="685"/>
              <w:spacing w:before="0" w:after="1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8-9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71" w:type="dxa"/>
            <w:textDirection w:val="lrTb"/>
            <w:noWrap w:val="false"/>
          </w:tcPr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Театрализация речевой игры с последующем озвучиванием на инструментах.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Озвучивание явлений природы: ветер, дождь, гроза, шелест листьев.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before="0" w:after="1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0" w:type="dxa"/>
            <w:textDirection w:val="lrTb"/>
            <w:noWrap w:val="false"/>
          </w:tcPr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Исполнение песни с сопровождением инструментов.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before="0" w:after="1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Касаться кончиками пальцев различных частей тела при прослушивании музыки. Активное слушание с использованием движений рук для формирования у детей ощущений равномерной метрической пульсации.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96" w:type="dxa"/>
            <w:textDirection w:val="lrTb"/>
            <w:noWrap w:val="false"/>
          </w:tcPr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Речевая игра «Зайчик»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Звукоподражательные артикуляционные игры: «Ветер», «Дождик», «Гром».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before="0" w:after="1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Пьеса «Дождик» А. Александровна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108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3" w:type="dxa"/>
            <w:textDirection w:val="lrTb"/>
            <w:noWrap w:val="false"/>
          </w:tcPr>
          <w:p>
            <w:pPr>
              <w:pStyle w:val="685"/>
              <w:spacing w:before="0" w:after="1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10-11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71" w:type="dxa"/>
            <w:textDirection w:val="lrTb"/>
            <w:noWrap w:val="false"/>
          </w:tcPr>
          <w:p>
            <w:pPr>
              <w:pStyle w:val="685"/>
              <w:spacing w:before="0" w:after="1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Усложнение ритма за счет введения восьмых и пауз. Ритмическое прямое одномоментное подражание. Знакомство с тембром деревянных инструментов.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0" w:type="dxa"/>
            <w:textDirection w:val="lrTb"/>
            <w:noWrap w:val="false"/>
          </w:tcPr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Исполнение речевой игры с ритмом восьмых и пауз.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Знакомство с понятием «соло» и «тутти».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Прямое одномоментное подражание.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Ритмическое звукоподражание.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before="0" w:after="1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Знакомство с деревянными  инструментами.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96" w:type="dxa"/>
            <w:textDirection w:val="lrTb"/>
            <w:noWrap w:val="false"/>
          </w:tcPr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Ритмическая игра «Тюшки-Тютюшки»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Игра – приветствие «Мое имя».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Речевая игра «Скачут две лошадки»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before="0" w:after="1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«Ритмическая игра «тук-тук -  деревянный это звук»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108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3" w:type="dxa"/>
            <w:textDirection w:val="lrTb"/>
            <w:noWrap w:val="false"/>
          </w:tcPr>
          <w:p>
            <w:pPr>
              <w:pStyle w:val="685"/>
              <w:spacing w:before="0" w:after="1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12-13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71" w:type="dxa"/>
            <w:textDirection w:val="lrTb"/>
            <w:noWrap w:val="false"/>
          </w:tcPr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Игра в шумовом оркестре. Пение песни в сопровождении инструментами и жестами. Подготовка к игре в оркестре.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Пение песен в сопровождении жестов и инструментов.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before="0" w:after="1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Театрализация песни.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0" w:type="dxa"/>
            <w:textDirection w:val="lrTb"/>
            <w:noWrap w:val="false"/>
          </w:tcPr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Игра на различение темпа, движения, тембра.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Активное слушание с ритмическим (пульс) озвучиванием песни и сменой движений.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before="0" w:after="1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Игра в парах в лошадку.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96" w:type="dxa"/>
            <w:textDirection w:val="lrTb"/>
            <w:noWrap w:val="false"/>
          </w:tcPr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Игра «Шаг, бег, подскоки».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«Ах, в, сени»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«Лошадка» А. Агафонникова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Детская песенка «Котенок»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before="0" w:after="1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«А у меня есть пони» (амер. нар. мелодия)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108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3" w:type="dxa"/>
            <w:textDirection w:val="lrTb"/>
            <w:noWrap w:val="false"/>
          </w:tcPr>
          <w:p>
            <w:pPr>
              <w:pStyle w:val="685"/>
              <w:spacing w:before="0" w:after="1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14-15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71" w:type="dxa"/>
            <w:textDirection w:val="lrTb"/>
            <w:noWrap w:val="false"/>
          </w:tcPr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Введение третьего жеста в конце ритма «Топ».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Речевое музицирование (Тема «Зима»).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Инструментальное музицирование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before="0" w:after="1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Импровизация движений по теме «Зима».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0" w:type="dxa"/>
            <w:textDirection w:val="lrTb"/>
            <w:noWrap w:val="false"/>
          </w:tcPr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Импровизированное сопровождение звучащими жестами стихотворений. Работа с треугольником.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Метрическое исполнение импровизаций на треугольнике.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Работа тутти и соло.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before="0" w:after="1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96" w:type="dxa"/>
            <w:textDirection w:val="lrTb"/>
            <w:noWrap w:val="false"/>
          </w:tcPr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Стихотворное четверостишье «Метелица», «Снег».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«Финская полька».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before="0" w:after="1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«Метелица», «Снег, снег» музыка М. Ройтерштейна.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108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3" w:type="dxa"/>
            <w:textDirection w:val="lrTb"/>
            <w:noWrap w:val="false"/>
          </w:tcPr>
          <w:p>
            <w:pPr>
              <w:pStyle w:val="685"/>
              <w:spacing w:before="0" w:after="1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16-17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71" w:type="dxa"/>
            <w:textDirection w:val="lrTb"/>
            <w:noWrap w:val="false"/>
          </w:tcPr>
          <w:p>
            <w:pPr>
              <w:pStyle w:val="685"/>
              <w:spacing w:before="0" w:after="1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Импровизация движений в игре.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50" w:type="dxa"/>
            <w:textDirection w:val="lrTb"/>
            <w:noWrap w:val="false"/>
          </w:tcPr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Движение с неожиданными остановками.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Развитие импровизации голосом (тихий свист, глиссандо гудение).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Озвучивание текста звукоподражанием.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before="0" w:after="1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Отработка звучания мажора и минора.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96" w:type="dxa"/>
            <w:textDirection w:val="lrTb"/>
            <w:noWrap w:val="false"/>
          </w:tcPr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Игра «Четыре импровизации».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before="0" w:after="1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Игра «Зимняя буря». Песня-команда «Глазки открой и закрой»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Style w:val="685"/>
        <w:jc w:val="center"/>
        <w:spacing w:before="0"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</w:p>
    <w:p>
      <w:pPr>
        <w:pStyle w:val="685"/>
        <w:jc w:val="center"/>
        <w:spacing w:before="0" w:after="0" w:line="360" w:lineRule="auto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eastAsia="DejaVu Serif Condensed;Calibri" w:cs="Times New Roman"/>
          <w:i/>
          <w:sz w:val="28"/>
          <w:szCs w:val="28"/>
        </w:rPr>
        <w:t xml:space="preserve">Второе полугодие</w:t>
      </w:r>
      <w:r>
        <w:rPr>
          <w:rFonts w:ascii="Times New Roman" w:hAnsi="Times New Roman" w:cs="Times New Roman"/>
          <w:bCs/>
          <w:i/>
          <w:sz w:val="28"/>
          <w:szCs w:val="28"/>
        </w:rPr>
      </w:r>
    </w:p>
    <w:p>
      <w:pPr>
        <w:pStyle w:val="685"/>
        <w:jc w:val="center"/>
        <w:spacing w:before="0" w:after="0" w:line="360" w:lineRule="auto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</w:p>
    <w:tbl>
      <w:tblPr>
        <w:tblW w:w="10500" w:type="dxa"/>
        <w:tblInd w:w="-798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956"/>
        <w:gridCol w:w="3243"/>
        <w:gridCol w:w="3118"/>
        <w:gridCol w:w="3183"/>
      </w:tblGrid>
      <w:tr>
        <w:tblPrEx/>
        <w:trPr>
          <w:trHeight w:val="47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6" w:type="dxa"/>
            <w:textDirection w:val="lrTb"/>
            <w:noWrap w:val="false"/>
          </w:tcPr>
          <w:p>
            <w:pPr>
              <w:pStyle w:val="685"/>
              <w:spacing w:before="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урока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43" w:type="dxa"/>
            <w:textDirection w:val="lrTb"/>
            <w:noWrap w:val="false"/>
          </w:tcPr>
          <w:p>
            <w:pPr>
              <w:pStyle w:val="685"/>
              <w:jc w:val="center"/>
              <w:spacing w:before="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Тема занятия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textDirection w:val="lrTb"/>
            <w:noWrap w:val="false"/>
          </w:tcPr>
          <w:p>
            <w:pPr>
              <w:pStyle w:val="685"/>
              <w:jc w:val="center"/>
              <w:spacing w:before="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Программное содержание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83" w:type="dxa"/>
            <w:textDirection w:val="lrTb"/>
            <w:noWrap w:val="false"/>
          </w:tcPr>
          <w:p>
            <w:pPr>
              <w:pStyle w:val="685"/>
              <w:jc w:val="center"/>
              <w:spacing w:before="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Репертуар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8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6" w:type="dxa"/>
            <w:textDirection w:val="lrTb"/>
            <w:noWrap w:val="false"/>
          </w:tcPr>
          <w:p>
            <w:pPr>
              <w:pStyle w:val="685"/>
              <w:jc w:val="center"/>
              <w:spacing w:before="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1-2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before="0" w:after="1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43" w:type="dxa"/>
            <w:textDirection w:val="lrTb"/>
            <w:noWrap w:val="false"/>
          </w:tcPr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Изучение нового тембра – барабан.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Разучивание песен.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Звукоподражание в пении.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before="0" w:after="1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textDirection w:val="lrTb"/>
            <w:noWrap w:val="false"/>
          </w:tcPr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Игра на барабане палочкой и рукой.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before="0" w:after="1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Исполнение в шумовом оркестре двух различных приемов игры: метричный удар и тремоло.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83" w:type="dxa"/>
            <w:textDirection w:val="lrTb"/>
            <w:noWrap w:val="false"/>
          </w:tcPr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Игра звучащих жестов «Черкессия»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Белорусскася. нар. мелодия «Бульба»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before="0" w:after="1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«Веселые инструменты».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8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6" w:type="dxa"/>
            <w:textDirection w:val="lrTb"/>
            <w:noWrap w:val="false"/>
          </w:tcPr>
          <w:p>
            <w:pPr>
              <w:pStyle w:val="685"/>
              <w:jc w:val="center"/>
              <w:spacing w:before="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3-4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43" w:type="dxa"/>
            <w:textDirection w:val="lrTb"/>
            <w:noWrap w:val="false"/>
          </w:tcPr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Звукоподражание в пении и игре на барабане.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Импровизационное движение под музыку.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before="0" w:after="1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Речевые игры с движением.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textDirection w:val="lrTb"/>
            <w:noWrap w:val="false"/>
          </w:tcPr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Свободные импровизации на барабане и треугольнике.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before="0" w:after="1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Движение и активное слушание под музыку и без нее.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83" w:type="dxa"/>
            <w:textDirection w:val="lrTb"/>
            <w:noWrap w:val="false"/>
          </w:tcPr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Песня «Загадки»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Франц. нар. мелодия «Ку-чи-чи»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«Ты, мороз»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before="0" w:after="1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Игра «Мышки водят хоровод»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8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6" w:type="dxa"/>
            <w:textDirection w:val="lrTb"/>
            <w:noWrap w:val="false"/>
          </w:tcPr>
          <w:p>
            <w:pPr>
              <w:pStyle w:val="685"/>
              <w:spacing w:before="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43" w:type="dxa"/>
            <w:textDirection w:val="lrTb"/>
            <w:noWrap w:val="false"/>
          </w:tcPr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Движение и активное слушание.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Театрализованные игры.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before="0" w:after="1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Звукоподражание в пении.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textDirection w:val="lrTb"/>
            <w:noWrap w:val="false"/>
          </w:tcPr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Изучение тембра «шуршания».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Игра на тактильные взаимодействия.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before="0" w:after="1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Импровизационные движения под музыку.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83" w:type="dxa"/>
            <w:textDirection w:val="lrTb"/>
            <w:noWrap w:val="false"/>
          </w:tcPr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«Мышиный марш» с бумажками.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before="0" w:after="1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Английская народная песня «Мыши водят хоровод»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8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6" w:type="dxa"/>
            <w:textDirection w:val="lrTb"/>
            <w:noWrap w:val="false"/>
          </w:tcPr>
          <w:p>
            <w:pPr>
              <w:pStyle w:val="685"/>
              <w:spacing w:before="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6-7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43" w:type="dxa"/>
            <w:textDirection w:val="lrTb"/>
            <w:noWrap w:val="false"/>
          </w:tcPr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Звучащие жесты в ритмизированных стихотворных фразах.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before="0" w:after="1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Шумовой оркестр.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textDirection w:val="lrTb"/>
            <w:noWrap w:val="false"/>
          </w:tcPr>
          <w:p>
            <w:pPr>
              <w:pStyle w:val="685"/>
              <w:spacing w:before="0" w:after="1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Развитие чувства ритма. Озвучивание команд текста (гром, стук, звон).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83" w:type="dxa"/>
            <w:textDirection w:val="lrTb"/>
            <w:noWrap w:val="false"/>
          </w:tcPr>
          <w:p>
            <w:pPr>
              <w:pStyle w:val="685"/>
              <w:spacing w:line="240" w:lineRule="auto"/>
              <w:rPr>
                <w:rFonts w:ascii="Times New Roman" w:hAnsi="Times New Roman" w:eastAsia="DejaVu Serif Condensed;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«Молоточки» </w:t>
            </w: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</w:r>
          </w:p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М. Андреева.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«Полька» М. Глинки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before="0" w:after="1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Игровая песня «Фокус-покус»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8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6" w:type="dxa"/>
            <w:textDirection w:val="lrTb"/>
            <w:noWrap w:val="false"/>
          </w:tcPr>
          <w:p>
            <w:pPr>
              <w:pStyle w:val="685"/>
              <w:spacing w:before="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8-9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43" w:type="dxa"/>
            <w:textDirection w:val="lrTb"/>
            <w:noWrap w:val="false"/>
          </w:tcPr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Свободная импровизация движений, звуков, диалогов звуков.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Декламация и разучивание закличек с различными вариантами звучащих жестов.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before="0" w:after="1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textDirection w:val="lrTb"/>
            <w:noWrap w:val="false"/>
          </w:tcPr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Упражнения на развитие чувства ритма и реакции.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before="0" w:after="1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Звукоподражание птичьим голосам.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83" w:type="dxa"/>
            <w:textDirection w:val="lrTb"/>
            <w:noWrap w:val="false"/>
          </w:tcPr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«Танец деревянных палочек»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Песня «Много разных звуков»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Речевая пьеса «Воробушки»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Хороводы, «змейки» с пением веснянок педагогом.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Фонограммы русских народных песен в исполнении оркестра народных инструментов.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before="0" w:after="16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«Птички».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8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6" w:type="dxa"/>
            <w:textDirection w:val="lrTb"/>
            <w:noWrap w:val="false"/>
          </w:tcPr>
          <w:p>
            <w:pPr>
              <w:pStyle w:val="685"/>
              <w:spacing w:before="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10-11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43" w:type="dxa"/>
            <w:textDirection w:val="lrTb"/>
            <w:noWrap w:val="false"/>
          </w:tcPr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Знакомство с дудочками, ксилофоном, металлофоном.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Речевое подражание голосам птиц, воды.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Декламация закличек.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Импровизация под музыку.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before="0" w:after="1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Импровизация на заданную тему.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textDirection w:val="lrTb"/>
            <w:noWrap w:val="false"/>
          </w:tcPr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Произвольная манипуляция пальцами (птичьи трели). Голосовое звукоподражание.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Импровизация на русских народных инструментах (ложки, трещотки, бубенцы).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before="0" w:after="1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83" w:type="dxa"/>
            <w:textDirection w:val="lrTb"/>
            <w:noWrap w:val="false"/>
          </w:tcPr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Речевая пьеса «Солнышко»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Русская народная танцевальная музыка (фонограмма)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«Воробей»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before="0" w:after="1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Фонограммы русских народных песен в исполнении оркестра народных инструментов.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8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6" w:type="dxa"/>
            <w:textDirection w:val="lrTb"/>
            <w:noWrap w:val="false"/>
          </w:tcPr>
          <w:p>
            <w:pPr>
              <w:pStyle w:val="685"/>
              <w:spacing w:before="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12-13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43" w:type="dxa"/>
            <w:textDirection w:val="lrTb"/>
            <w:noWrap w:val="false"/>
          </w:tcPr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Звучащие жесты по различным частям тела.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Звукоподражание голосом насекомых.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before="0" w:after="1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Исполнение двухчастной формы в оркестре.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textDirection w:val="lrTb"/>
            <w:noWrap w:val="false"/>
          </w:tcPr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Импровизация голосом в диалоге.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before="0" w:after="1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Импровизация «жжужания» на ксилофоне и металлофоне (тремоло).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83" w:type="dxa"/>
            <w:textDirection w:val="lrTb"/>
            <w:noWrap w:val="false"/>
          </w:tcPr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«Pata-pata»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Речевая пьеса «Жук», слова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М. Видовой.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Игра «Хор насекомых»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before="0" w:after="1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«Полька» А. Жилинский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41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6" w:type="dxa"/>
            <w:textDirection w:val="lrTb"/>
            <w:noWrap w:val="false"/>
          </w:tcPr>
          <w:p>
            <w:pPr>
              <w:pStyle w:val="685"/>
              <w:jc w:val="center"/>
              <w:spacing w:before="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14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43" w:type="dxa"/>
            <w:textDirection w:val="lrTb"/>
            <w:noWrap w:val="false"/>
          </w:tcPr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Импровизация в движении со звукоподражанием.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Тренировка реакций движения и остановки.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before="0" w:after="1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textDirection w:val="lrTb"/>
            <w:noWrap w:val="false"/>
          </w:tcPr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Движение под импровизацию других детей. Работа в группах.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before="0" w:after="1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83" w:type="dxa"/>
            <w:textDirection w:val="lrTb"/>
            <w:noWrap w:val="false"/>
          </w:tcPr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«Хор насекомых»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«Простая песенка»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before="0" w:after="1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«Вновь солнышко смеется» английская народная песня. Игра «Прыгай и замри».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8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6" w:type="dxa"/>
            <w:textDirection w:val="lrTb"/>
            <w:noWrap w:val="false"/>
          </w:tcPr>
          <w:p>
            <w:pPr>
              <w:pStyle w:val="685"/>
              <w:jc w:val="center"/>
              <w:spacing w:before="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15-16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43" w:type="dxa"/>
            <w:textDirection w:val="lrTb"/>
            <w:noWrap w:val="false"/>
          </w:tcPr>
          <w:p>
            <w:pPr>
              <w:pStyle w:val="685"/>
              <w:spacing w:before="0" w:after="1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Соединение изученных способов работы со звуком: голос, движение, игра на инструментах. Появление вступления и заключения в пьесах.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textDirection w:val="lrTb"/>
            <w:noWrap w:val="false"/>
          </w:tcPr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Звукоподражание голосам кузнечика, лягушки. Сочетание речи, движения, игры на инструментах.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Импровизация во вступлении и заключении пьесы.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before="0" w:after="1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Импровизация на ксилофоне.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83" w:type="dxa"/>
            <w:textDirection w:val="lrTb"/>
            <w:noWrap w:val="false"/>
          </w:tcPr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Речевая пьеса «Кузнечик»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before="0" w:after="1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Песня «Вышла курочка гулять». Пьеса «Кузнечик» С. Слонимского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8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6" w:type="dxa"/>
            <w:textDirection w:val="lrTb"/>
            <w:noWrap w:val="false"/>
          </w:tcPr>
          <w:p>
            <w:pPr>
              <w:pStyle w:val="685"/>
              <w:jc w:val="center"/>
              <w:spacing w:before="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17-19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43" w:type="dxa"/>
            <w:textDirection w:val="lrTb"/>
            <w:noWrap w:val="false"/>
          </w:tcPr>
          <w:p>
            <w:pPr>
              <w:pStyle w:val="685"/>
              <w:spacing w:before="0" w:after="1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Повторение и закрепление материала речевых упражнений и игр.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textDirection w:val="lrTb"/>
            <w:noWrap w:val="false"/>
          </w:tcPr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Игра на инструментах любимых пьес.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before="0" w:after="1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83" w:type="dxa"/>
            <w:textDirection w:val="lrTb"/>
            <w:noWrap w:val="false"/>
          </w:tcPr>
          <w:p>
            <w:pPr>
              <w:pStyle w:val="685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Песня «Кукушка»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685"/>
              <w:spacing w:before="0" w:after="1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DejaVu Serif Condensed;Calibri" w:cs="Times New Roman"/>
                <w:sz w:val="28"/>
                <w:szCs w:val="28"/>
              </w:rPr>
              <w:t xml:space="preserve">Пьеса «Лягушки» С. Слонимского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Style w:val="685"/>
        <w:ind w:left="709" w:right="0"/>
        <w:jc w:val="both"/>
        <w:spacing w:line="360" w:lineRule="auto"/>
        <w:rPr>
          <w:rFonts w:ascii="Times New Roman" w:hAnsi="Times New Roman" w:eastAsia="DejaVu Serif Condensed;Calibri" w:cs="Times New Roman"/>
          <w:sz w:val="28"/>
          <w:szCs w:val="28"/>
        </w:rPr>
      </w:pPr>
      <w:r>
        <w:rPr>
          <w:rFonts w:ascii="Times New Roman" w:hAnsi="Times New Roman" w:eastAsia="DejaVu Serif Condensed;Calibri" w:cs="Times New Roman"/>
          <w:sz w:val="28"/>
          <w:szCs w:val="28"/>
        </w:rPr>
      </w:r>
      <w:r>
        <w:rPr>
          <w:rFonts w:ascii="Times New Roman" w:hAnsi="Times New Roman" w:eastAsia="DejaVu Serif Condensed;Calibri" w:cs="Times New Roman"/>
          <w:sz w:val="28"/>
          <w:szCs w:val="28"/>
        </w:rPr>
      </w:r>
    </w:p>
    <w:p>
      <w:pPr>
        <w:pStyle w:val="685"/>
        <w:ind w:left="709" w:right="0"/>
        <w:jc w:val="center"/>
        <w:spacing w:line="360" w:lineRule="auto"/>
        <w:rPr>
          <w:rFonts w:ascii="Times New Roman" w:hAnsi="Times New Roman" w:eastAsia="DejaVu Serif Condensed;Calibri" w:cs="Times New Roman"/>
          <w:sz w:val="28"/>
          <w:szCs w:val="28"/>
        </w:rPr>
      </w:pPr>
      <w:r>
        <w:rPr>
          <w:rFonts w:ascii="Times New Roman" w:hAnsi="Times New Roman" w:eastAsia="DejaVu Serif Condensed;Calibri" w:cs="Times New Roman"/>
          <w:b/>
          <w:sz w:val="28"/>
          <w:szCs w:val="28"/>
        </w:rPr>
        <w:t xml:space="preserve">III. Требования к уровню подготовки учащихся</w:t>
      </w:r>
      <w:r>
        <w:rPr>
          <w:rFonts w:ascii="Times New Roman" w:hAnsi="Times New Roman" w:eastAsia="DejaVu Serif Condensed;Calibri" w:cs="Times New Roman"/>
          <w:sz w:val="28"/>
          <w:szCs w:val="28"/>
        </w:rPr>
      </w:r>
    </w:p>
    <w:p>
      <w:pPr>
        <w:pStyle w:val="685"/>
        <w:contextualSpacing/>
        <w:ind w:right="0" w:firstLine="708"/>
        <w:jc w:val="both"/>
        <w:spacing w:before="0" w:after="16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Результатом освоения программы учебного предмета «Раннее развитие детей» является приобретение начал</w:t>
      </w: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ьных навыков интонирования мелодии; выявление и развитие музыкальных способностей ребенка – слуха, ритма, памяти; первоначальное представление о певческих возможностях; приобретение первоначального опыта творческой деятельности индивидуально и в ансамбле.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85"/>
        <w:ind w:left="709" w:right="0"/>
        <w:jc w:val="both"/>
        <w:spacing w:line="360" w:lineRule="auto"/>
        <w:rPr>
          <w:rFonts w:ascii="Times New Roman" w:hAnsi="Times New Roman" w:eastAsia="DejaVu Serif Condensed;Calibri" w:cs="Times New Roman"/>
          <w:sz w:val="28"/>
          <w:szCs w:val="28"/>
        </w:rPr>
      </w:pPr>
      <w:r>
        <w:rPr>
          <w:rFonts w:ascii="Times New Roman" w:hAnsi="Times New Roman" w:eastAsia="DejaVu Serif Condensed;Calibri" w:cs="Times New Roman"/>
          <w:sz w:val="28"/>
          <w:szCs w:val="28"/>
        </w:rPr>
      </w:r>
      <w:r>
        <w:rPr>
          <w:rFonts w:ascii="Times New Roman" w:hAnsi="Times New Roman" w:eastAsia="DejaVu Serif Condensed;Calibri" w:cs="Times New Roman"/>
          <w:sz w:val="28"/>
          <w:szCs w:val="28"/>
        </w:rPr>
      </w:r>
    </w:p>
    <w:p>
      <w:pPr>
        <w:pStyle w:val="685"/>
        <w:ind w:left="709" w:right="0"/>
        <w:jc w:val="center"/>
        <w:spacing w:line="360" w:lineRule="auto"/>
        <w:rPr>
          <w:rFonts w:ascii="Times New Roman" w:hAnsi="Times New Roman" w:eastAsia="DejaVu Serif Condensed;Calibri" w:cs="Times New Roman"/>
          <w:b/>
          <w:bCs/>
          <w:sz w:val="28"/>
          <w:szCs w:val="28"/>
        </w:rPr>
      </w:pPr>
      <w:r>
        <w:rPr>
          <w:rFonts w:ascii="Times New Roman" w:hAnsi="Times New Roman" w:eastAsia="DejaVu Serif Condensed;Calibri" w:cs="Times New Roman"/>
          <w:b/>
          <w:bCs/>
          <w:sz w:val="28"/>
          <w:szCs w:val="28"/>
        </w:rPr>
        <w:t xml:space="preserve">IV.</w:t>
      </w: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 </w:t>
      </w:r>
      <w:r>
        <w:rPr>
          <w:rFonts w:ascii="Times New Roman" w:hAnsi="Times New Roman" w:eastAsia="DejaVu Serif Condensed;Calibri" w:cs="Times New Roman"/>
          <w:b/>
          <w:sz w:val="28"/>
          <w:szCs w:val="28"/>
        </w:rPr>
        <w:t xml:space="preserve">Формы и методы контроля. Критерии оценок</w:t>
      </w:r>
      <w:r>
        <w:rPr>
          <w:rFonts w:ascii="Times New Roman" w:hAnsi="Times New Roman" w:eastAsia="DejaVu Serif Condensed;Calibri" w:cs="Times New Roman"/>
          <w:b/>
          <w:bCs/>
          <w:sz w:val="28"/>
          <w:szCs w:val="28"/>
        </w:rPr>
      </w:r>
    </w:p>
    <w:p>
      <w:pPr>
        <w:pStyle w:val="685"/>
        <w:ind w:right="510" w:firstLine="709"/>
        <w:jc w:val="both"/>
        <w:spacing w:before="360" w:after="660" w:line="360" w:lineRule="auto"/>
        <w:shd w:val="clear" w:color="auto" w:fill="ffffff"/>
        <w:rPr>
          <w:rFonts w:ascii="Times New Roman" w:hAnsi="Times New Roman" w:eastAsia="DejaVu Serif Condensed;Calibri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Программа на отделении платных образовательных услуг не предусматривает текущий контроль, промежуточную и итоговую аттестации. </w:t>
      </w: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Итоговая аттестация так же не предусмотрена программой. </w:t>
      </w:r>
      <w:r>
        <w:rPr>
          <w:rFonts w:ascii="Times New Roman" w:hAnsi="Times New Roman" w:eastAsia="DejaVu Serif Condensed;Calibri" w:cs="Times New Roman"/>
          <w:b/>
          <w:sz w:val="28"/>
          <w:szCs w:val="28"/>
        </w:rPr>
        <w:t xml:space="preserve">Критерии оценки</w:t>
      </w: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 качества подготовки обучающегося по учебному предмету «Раннее музыкальное развитие»: умение концентрировать внимание во время занятия; осво</w:t>
      </w: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ение способов игры на шумовых и орф-инструментах, навыков интонирования в пределах терции; соответствие исполняемых произведений возрасту обучающегося, эмоциональность, стабильность и музыкальность исполнения. Оценка выступления – словесная характеристика.</w:t>
      </w:r>
      <w:r>
        <w:rPr>
          <w:rFonts w:ascii="Times New Roman" w:hAnsi="Times New Roman" w:eastAsia="DejaVu Serif Condensed;Calibri" w:cs="Times New Roman"/>
          <w:sz w:val="28"/>
          <w:szCs w:val="28"/>
        </w:rPr>
      </w:r>
    </w:p>
    <w:p>
      <w:pPr>
        <w:pStyle w:val="828"/>
        <w:jc w:val="center"/>
        <w:spacing w:line="360" w:lineRule="auto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 w:eastAsia="DejaVu Serif Condensed;Calibri" w:cs="Times New Roman"/>
          <w:b/>
          <w:color w:val="000000"/>
          <w:sz w:val="28"/>
          <w:szCs w:val="28"/>
        </w:rPr>
        <w:t xml:space="preserve">V</w:t>
      </w:r>
      <w:r>
        <w:rPr>
          <w:rFonts w:ascii="Times New Roman" w:hAnsi="Times New Roman" w:eastAsia="DejaVu Serif Condensed;Calibri" w:cs="Times New Roman"/>
          <w:b/>
          <w:color w:val="000000"/>
          <w:sz w:val="28"/>
          <w:szCs w:val="28"/>
          <w:lang w:val="ru-RU"/>
        </w:rPr>
        <w:t xml:space="preserve">. Методическое обеспечение учебного процесса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r>
    </w:p>
    <w:p>
      <w:pPr>
        <w:pStyle w:val="828"/>
        <w:ind w:right="0" w:firstLine="720"/>
        <w:spacing w:line="360" w:lineRule="auto"/>
        <w:rPr>
          <w:rFonts w:ascii="Times New Roman" w:hAnsi="Times New Roman" w:cs="Times New Roman"/>
          <w:b/>
          <w:i/>
          <w:color w:val="000000"/>
          <w:sz w:val="28"/>
          <w:szCs w:val="28"/>
          <w:lang w:val="ru-RU"/>
        </w:rPr>
      </w:pPr>
      <w:r>
        <w:rPr>
          <w:rFonts w:ascii="Times New Roman" w:hAnsi="Times New Roman" w:eastAsia="DejaVu Serif Condensed;Calibri" w:cs="Times New Roman"/>
          <w:b/>
          <w:i/>
          <w:color w:val="000000"/>
          <w:sz w:val="28"/>
          <w:szCs w:val="28"/>
          <w:lang w:val="ru-RU"/>
        </w:rPr>
        <w:t xml:space="preserve">Методические рекомендации преподавателям 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lang w:val="ru-RU"/>
        </w:rPr>
      </w:r>
    </w:p>
    <w:p>
      <w:pPr>
        <w:pStyle w:val="685"/>
        <w:ind w:right="0" w:firstLine="708"/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Музыка — это средство развития у ребёнка не </w:t>
      </w: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только музыкальных, но, главным образом, общих способностей. В то же время дети научаются свободно двигаться под музыку, свободно играть на многих музыкальных инструментах в импровизационной форме, участвовать в различных ансамблях, петь соло и в ансамбле.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85"/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DejaVu Serif Condensed;Calibri" w:cs="Times New Roman"/>
          <w:sz w:val="28"/>
          <w:szCs w:val="28"/>
        </w:rPr>
        <w:tab/>
        <w:t xml:space="preserve">При таком обучении ребёнок овладевает необходимыми знаниями вовсе не в результате специальных сознательных усилий (с целью чему-то опр</w:t>
      </w: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еделённому научиться), а в результате деятельности, направленной на другую цель, и обычно — незаметно для самого себя. Все эти занятия напоминают больше весёлую игру, чем работу. Но внутри такой работы постепенно созревают основные музыкальные способности.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85"/>
        <w:ind w:right="0" w:firstLine="708"/>
        <w:jc w:val="both"/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Главная цель взрослых – незаметно наладить самостоятельную музыкальную деятельность детей. </w:t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685"/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Не настаивать, если малыш не хочет прыгать или пока не понял, что ему нужно делать!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85"/>
        <w:ind w:right="0" w:firstLine="708"/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«Детский оркестр» состоит из двух комплектов музыкальных инструментов: ударных и орф-инструментов. Мелодические ударные (ксилофоны) используются изредка и элементарно (выдержанное остинато, глиссандо, спонтанная творческая игра звуками).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85"/>
        <w:ind w:right="0" w:firstLine="708"/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Также активно используются «собственные инструменты» - притопы, хлопки в ладоши, шлепки по коленям.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85"/>
        <w:ind w:right="0" w:firstLine="708"/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Дети до 3,5 лет все делают с родителями, постепенно выходя на самостоятельную работу («Я- сам!»).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85"/>
        <w:ind w:right="0" w:firstLine="708"/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В процессе занятий изменяется характер взаимодействия ребенка с окружающими.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85"/>
        <w:ind w:right="0" w:firstLine="708"/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Воздействие преподавателя направлено на организацию коммуникативной</w:t>
      </w: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 деятельности детей. Взрослый «отталкивается» от уровня, которого ребёнок достиг в развитии общения. А затем старший партнёр предлагает детям новые и всё более сложные по содержанию контакты, поддерживает и поощряет все усилия малышей в нужном направлении.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85"/>
        <w:ind w:right="0" w:firstLine="708"/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Преподаватель (и родитель) постепенно приучают ребёнка к «деловому общению»: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85"/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- сначала важно установить эмоциональный контакт;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85"/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- взрослый показывает музыкальные инструменты и добивается того, чтобы ребёнок начинал сопереживать ему, а потом и сам активно делиться с ним своими переживаниями;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85"/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- взрослый и ребёнок играют вместе с разнообразными предметами и музыкальными инструментами;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85"/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- в итоге ребёнок начинает обращаться к взрослому (что и требуется!) по «деловым» вопросам.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85"/>
        <w:ind w:right="0" w:firstLine="708"/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Ребёнок разительно меняется: он становится бодрым, радостным, активным и в предметной деятельности, и в общении, причём с разными взрослыми. Родитель это может заметить по тому, как ребёнок начинает общаться с малознакомыми взрослыми и со сверстниками.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85"/>
        <w:ind w:right="0" w:firstLine="708"/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В поведении детей исчезают или ослабевают </w:t>
      </w: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прежняя конфликтность; от стремления к физическому контакту дети переходят к практическому сотрудничеству со взрослым. В общении возникает деловой мотив, и у ребёнка рождается естественное желание следовать в своих действиях поведению старших, как образцу.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85"/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Каждое занятие состоит из следующих этапов: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22"/>
        <w:numPr>
          <w:ilvl w:val="0"/>
          <w:numId w:val="5"/>
        </w:numPr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Разминка (выбор движения под музыку – шаг, бег, подскок, являющиеся основными видами движения).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22"/>
        <w:numPr>
          <w:ilvl w:val="0"/>
          <w:numId w:val="5"/>
        </w:numPr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Речевая игра.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22"/>
        <w:numPr>
          <w:ilvl w:val="0"/>
          <w:numId w:val="5"/>
        </w:numPr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Пение с инструментами и без них.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22"/>
        <w:numPr>
          <w:ilvl w:val="0"/>
          <w:numId w:val="5"/>
        </w:numPr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Пение без слов с аккомпанементом звучащих жестов.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22"/>
        <w:numPr>
          <w:ilvl w:val="0"/>
          <w:numId w:val="5"/>
        </w:numPr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Музыкальные игры с пением.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22"/>
        <w:numPr>
          <w:ilvl w:val="0"/>
          <w:numId w:val="5"/>
        </w:numPr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Свободное движение под музыку (импровизация).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22"/>
        <w:numPr>
          <w:ilvl w:val="0"/>
          <w:numId w:val="5"/>
        </w:numPr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Ритмические упражнения.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22"/>
        <w:numPr>
          <w:ilvl w:val="0"/>
          <w:numId w:val="5"/>
        </w:numPr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Игра на детских музыкальных инструментах.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22"/>
        <w:numPr>
          <w:ilvl w:val="0"/>
          <w:numId w:val="5"/>
        </w:numPr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Упражнения на большой прыгалке.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85"/>
        <w:ind w:right="0" w:firstLine="709"/>
        <w:jc w:val="both"/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Иногда ребенок не принимает упражнение, не наблюдет за действиями детей, а играет вместе с ними, но «на вторых ролях».  Не надо принуждать ребенка здороваться и</w:t>
      </w: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 прощаться, если он этого пока не хочет. Такая форма вызывает у ребенка протест и негативное чувство, которое скажется позже. Когда это станет для него приятной процедурой, он сам ею охотно воспользуется. Взрослые здороваются, не обращая внимание на детей.</w:t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685"/>
        <w:jc w:val="both"/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Начинать играть самим взрослым, не ждать детей.</w:t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685"/>
        <w:contextualSpacing/>
        <w:jc w:val="both"/>
        <w:spacing w:before="0" w:after="16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28"/>
        <w:jc w:val="center"/>
        <w:spacing w:line="360" w:lineRule="auto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 w:eastAsia="DejaVu Serif Condensed;Calibri" w:cs="Times New Roman"/>
          <w:b/>
          <w:color w:val="000000"/>
          <w:sz w:val="28"/>
          <w:szCs w:val="28"/>
        </w:rPr>
        <w:t xml:space="preserve">VI</w:t>
      </w:r>
      <w:r>
        <w:rPr>
          <w:rFonts w:ascii="Times New Roman" w:hAnsi="Times New Roman" w:eastAsia="DejaVu Serif Condensed;Calibri" w:cs="Times New Roman"/>
          <w:b/>
          <w:color w:val="000000"/>
          <w:sz w:val="28"/>
          <w:szCs w:val="28"/>
          <w:lang w:val="ru-RU"/>
        </w:rPr>
        <w:t xml:space="preserve">. Списки рекомендуемой нотной и методической литературы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r>
    </w:p>
    <w:p>
      <w:pPr>
        <w:pStyle w:val="828"/>
        <w:ind w:left="720" w:right="0"/>
        <w:spacing w:line="360" w:lineRule="auto"/>
        <w:tabs>
          <w:tab w:val="left" w:pos="567" w:leader="none"/>
          <w:tab w:val="clear" w:pos="708" w:leader="none"/>
        </w:tabs>
        <w:rPr>
          <w:rFonts w:ascii="Times New Roman" w:hAnsi="Times New Roman" w:eastAsia="DejaVu Serif Condensed;Calibri" w:cs="Times New Roman"/>
          <w:b/>
          <w:bCs/>
          <w:i/>
          <w:color w:val="000000"/>
          <w:sz w:val="28"/>
          <w:szCs w:val="28"/>
          <w:lang w:val="ru-RU"/>
        </w:rPr>
      </w:pPr>
      <w:r>
        <w:rPr>
          <w:rFonts w:ascii="Times New Roman" w:hAnsi="Times New Roman" w:eastAsia="DejaVu Serif Condensed;Calibri" w:cs="Times New Roman"/>
          <w:b/>
          <w:i/>
          <w:color w:val="000000"/>
          <w:sz w:val="28"/>
          <w:szCs w:val="28"/>
          <w:lang w:val="ru-RU"/>
        </w:rPr>
        <w:tab/>
      </w:r>
      <w:r>
        <w:rPr>
          <w:rFonts w:ascii="Times New Roman" w:hAnsi="Times New Roman" w:eastAsia="DejaVu Serif Condensed;Calibri" w:cs="Times New Roman"/>
          <w:b/>
          <w:bCs/>
          <w:i/>
          <w:color w:val="000000"/>
          <w:sz w:val="28"/>
          <w:szCs w:val="28"/>
          <w:lang w:val="ru-RU"/>
        </w:rPr>
      </w:r>
    </w:p>
    <w:p>
      <w:pPr>
        <w:pStyle w:val="822"/>
        <w:numPr>
          <w:ilvl w:val="0"/>
          <w:numId w:val="11"/>
        </w:numPr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Л. В. Виноградов. «Элементарное музицирование. </w:t>
      </w: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Дошкольники</w:t>
      </w: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».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22"/>
        <w:numPr>
          <w:ilvl w:val="0"/>
          <w:numId w:val="11"/>
        </w:numPr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Русские народные песни и потешки.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22"/>
        <w:numPr>
          <w:ilvl w:val="0"/>
          <w:numId w:val="11"/>
        </w:numPr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И. Домогацкая. Музыкальный альбом в картинках. «Учусь вместе с мамой»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22"/>
        <w:numPr>
          <w:ilvl w:val="0"/>
          <w:numId w:val="11"/>
        </w:numPr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А. В. Щемененко. «Топотушки-хлопотушки». Ритмика и вокальное воспитание детей.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22"/>
        <w:numPr>
          <w:ilvl w:val="0"/>
          <w:numId w:val="11"/>
        </w:numPr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DejaVu Serif Condensed;Calibri" w:cs="Times New Roman"/>
          <w:sz w:val="28"/>
          <w:szCs w:val="28"/>
        </w:rPr>
        <w:t xml:space="preserve">Т. Э. Тютюнникова. «Учусь творить. Элементарное музицирование: музыка, речь, движение».  Речевые игры. Пение с орфовскими инструментами.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28"/>
        <w:ind w:left="720" w:right="0"/>
        <w:spacing w:line="360" w:lineRule="auto"/>
        <w:tabs>
          <w:tab w:val="left" w:pos="567" w:leader="none"/>
          <w:tab w:val="clear" w:pos="708" w:leader="none"/>
        </w:tabs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</w:r>
    </w:p>
    <w:p>
      <w:pPr>
        <w:pStyle w:val="804"/>
        <w:spacing w:line="360" w:lineRule="auto"/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</w:r>
    </w:p>
    <w:p>
      <w:pPr>
        <w:pStyle w:val="804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04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04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04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erReference w:type="default" r:id="rId10"/>
      <w:footerReference w:type="first" r:id="rId11"/>
      <w:footnotePr/>
      <w:endnotePr/>
      <w:type w:val="nextPage"/>
      <w:pgSz w:w="11906" w:h="16838" w:orient="portrait"/>
      <w:pgMar w:top="1134" w:right="850" w:bottom="1134" w:left="1701" w:header="0" w:footer="708" w:gutter="0"/>
      <w:pgNumType w:start="2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/>
  <w:font w:name="ヒラギノ角ゴ Pro W3;Wingdings 3"/>
  <w:font w:name="Helvetica">
    <w:panose1 w:val="020B0604020202020204"/>
  </w:font>
  <w:font w:name="DejaVu Serif Condensed;Calibri">
    <w:panose1 w:val="02060603050605020204"/>
  </w:font>
  <w:font w:name="Tahoma">
    <w:panose1 w:val="020B0506030602030204"/>
  </w:font>
  <w:font w:name="Lucida Sans Unicode">
    <w:panose1 w:val="020B0603030804020204"/>
  </w:font>
  <w:font w:name="Noto Sans Symbols;Calibri"/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Liberation Sans;Arial">
    <w:panose1 w:val="020B0604020202020204"/>
  </w:font>
  <w:font w:name="Calibri">
    <w:panose1 w:val="020F0502020204030204"/>
  </w:font>
  <w:font w:name="Arial">
    <w:panose1 w:val="020B0604020202020204"/>
  </w:font>
  <w:font w:name="DejaVu Sans">
    <w:panose1 w:val="020B060303080402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24"/>
      <w:jc w:val="right"/>
    </w:pPr>
    <w:r>
      <w:fldChar w:fldCharType="begin"/>
    </w:r>
    <w:r>
      <w:instrText xml:space="preserve"> PAGE </w:instrText>
    </w:r>
    <w:r>
      <w:fldChar w:fldCharType="separate"/>
    </w:r>
    <w:r>
      <w:t xml:space="preserve">1</w:t>
    </w:r>
    <w:r>
      <w:fldChar w:fldCharType="end"/>
    </w:r>
    <w:r/>
  </w:p>
  <w:p>
    <w:pPr>
      <w:pStyle w:val="824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24"/>
      <w:jc w:val="right"/>
    </w:pPr>
    <w:r>
      <w:fldChar w:fldCharType="begin"/>
    </w:r>
    <w:r>
      <w:instrText xml:space="preserve"> PAGE </w:instrText>
    </w:r>
    <w:r>
      <w:fldChar w:fldCharType="separate"/>
    </w:r>
    <w:r>
      <w:t xml:space="preserve">20</w:t>
    </w:r>
    <w:r>
      <w:fldChar w:fldCharType="end"/>
    </w:r>
    <w:r/>
  </w:p>
  <w:p>
    <w:pPr>
      <w:pStyle w:val="824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none"/>
      <w:pStyle w:val="686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pStyle w:val="687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pStyle w:val="688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pStyle w:val="689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pStyle w:val="690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pStyle w:val="691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pStyle w:val="692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pStyle w:val="693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pStyle w:val="694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  <w:tabs>
          <w:tab w:val="num" w:pos="0" w:leader="none"/>
        </w:tabs>
      </w:pPr>
      <w:rPr>
        <w:rFonts w:hint="default"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  <w:tabs>
          <w:tab w:val="num" w:pos="0" w:leader="none"/>
        </w:tabs>
      </w:pPr>
      <w:rPr>
        <w:rFonts w:hint="default"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140" w:hanging="780"/>
        <w:tabs>
          <w:tab w:val="num" w:pos="114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  <w:tabs>
          <w:tab w:val="num" w:pos="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  <w:tabs>
          <w:tab w:val="num" w:pos="0" w:leader="none"/>
        </w:tabs>
      </w:pPr>
      <w:rPr>
        <w:rFonts w:hint="default"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  <w:tabs>
          <w:tab w:val="num" w:pos="0" w:leader="none"/>
        </w:tabs>
      </w:pPr>
      <w:rPr>
        <w:rFonts w:hint="default"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●"/>
      <w:lvlJc w:val="left"/>
      <w:pPr>
        <w:ind w:left="720" w:hanging="360"/>
        <w:tabs>
          <w:tab w:val="num" w:pos="0" w:leader="none"/>
        </w:tabs>
      </w:pPr>
      <w:rPr>
        <w:rFonts w:hint="default" w:ascii="Noto Sans Symbols" w:hAnsi="Noto Sans Symbols" w:cs="Noto Sans Symbols"/>
        <w:position w:val="0"/>
        <w:sz w:val="24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0" w:leader="none"/>
        </w:tabs>
      </w:pPr>
      <w:rPr>
        <w:rFonts w:hint="default" w:ascii="Courier New" w:hAnsi="Courier New" w:cs="Courier New"/>
        <w:position w:val="0"/>
        <w:sz w:val="24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160" w:hanging="360"/>
        <w:tabs>
          <w:tab w:val="num" w:pos="0" w:leader="none"/>
        </w:tabs>
      </w:pPr>
      <w:rPr>
        <w:rFonts w:hint="default" w:ascii="Noto Sans Symbols" w:hAnsi="Noto Sans Symbols" w:cs="Noto Sans Symbols"/>
        <w:position w:val="0"/>
        <w:sz w:val="24"/>
        <w:vertAlign w:val="baseline"/>
      </w:rPr>
    </w:lvl>
    <w:lvl w:ilvl="3">
      <w:start w:val="1"/>
      <w:numFmt w:val="bullet"/>
      <w:isLgl w:val="false"/>
      <w:suff w:val="tab"/>
      <w:lvlText w:val="●"/>
      <w:lvlJc w:val="left"/>
      <w:pPr>
        <w:ind w:left="2880" w:hanging="360"/>
        <w:tabs>
          <w:tab w:val="num" w:pos="0" w:leader="none"/>
        </w:tabs>
      </w:pPr>
      <w:rPr>
        <w:rFonts w:hint="default" w:ascii="Noto Sans Symbols" w:hAnsi="Noto Sans Symbols" w:cs="Noto Sans Symbols"/>
        <w:position w:val="0"/>
        <w:sz w:val="24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0" w:leader="none"/>
        </w:tabs>
      </w:pPr>
      <w:rPr>
        <w:rFonts w:hint="default" w:ascii="Courier New" w:hAnsi="Courier New" w:cs="Courier New"/>
        <w:position w:val="0"/>
        <w:sz w:val="24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320" w:hanging="360"/>
        <w:tabs>
          <w:tab w:val="num" w:pos="0" w:leader="none"/>
        </w:tabs>
      </w:pPr>
      <w:rPr>
        <w:rFonts w:hint="default" w:ascii="Noto Sans Symbols" w:hAnsi="Noto Sans Symbols" w:cs="Noto Sans Symbols"/>
        <w:position w:val="0"/>
        <w:sz w:val="24"/>
        <w:vertAlign w:val="baseline"/>
      </w:rPr>
    </w:lvl>
    <w:lvl w:ilvl="6">
      <w:start w:val="1"/>
      <w:numFmt w:val="bullet"/>
      <w:isLgl w:val="false"/>
      <w:suff w:val="tab"/>
      <w:lvlText w:val="●"/>
      <w:lvlJc w:val="left"/>
      <w:pPr>
        <w:ind w:left="5040" w:hanging="360"/>
        <w:tabs>
          <w:tab w:val="num" w:pos="0" w:leader="none"/>
        </w:tabs>
      </w:pPr>
      <w:rPr>
        <w:rFonts w:hint="default" w:ascii="Noto Sans Symbols" w:hAnsi="Noto Sans Symbols" w:cs="Noto Sans Symbols"/>
        <w:position w:val="0"/>
        <w:sz w:val="24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0" w:leader="none"/>
        </w:tabs>
      </w:pPr>
      <w:rPr>
        <w:rFonts w:hint="default" w:ascii="Courier New" w:hAnsi="Courier New" w:cs="Courier New"/>
        <w:position w:val="0"/>
        <w:sz w:val="24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480" w:hanging="360"/>
        <w:tabs>
          <w:tab w:val="num" w:pos="0" w:leader="none"/>
        </w:tabs>
      </w:pPr>
      <w:rPr>
        <w:rFonts w:hint="default" w:ascii="Noto Sans Symbols" w:hAnsi="Noto Sans Symbols" w:cs="Noto Sans Symbols"/>
        <w:position w:val="0"/>
        <w:sz w:val="24"/>
        <w:vertAlign w:val="baseline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●"/>
      <w:lvlJc w:val="left"/>
      <w:pPr>
        <w:ind w:left="720" w:hanging="360"/>
        <w:tabs>
          <w:tab w:val="num" w:pos="0" w:leader="none"/>
        </w:tabs>
      </w:pPr>
      <w:rPr>
        <w:rFonts w:hint="default" w:ascii="Noto Sans Symbols" w:hAnsi="Noto Sans Symbols" w:cs="Noto Sans Symbols"/>
        <w:position w:val="0"/>
        <w:sz w:val="24"/>
        <w:vertAlign w:val="baseline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  <w:rPr>
        <w:position w:val="0"/>
        <w:sz w:val="24"/>
        <w:vertAlign w:val="baseline"/>
      </w:r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0" w:leader="none"/>
        </w:tabs>
      </w:pPr>
      <w:rPr>
        <w:position w:val="0"/>
        <w:sz w:val="24"/>
        <w:vertAlign w:val="baseline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  <w:rPr>
        <w:position w:val="0"/>
        <w:sz w:val="24"/>
        <w:vertAlign w:val="baseline"/>
      </w:r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  <w:rPr>
        <w:position w:val="0"/>
        <w:sz w:val="24"/>
        <w:vertAlign w:val="baseline"/>
      </w:r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0" w:leader="none"/>
        </w:tabs>
      </w:pPr>
      <w:rPr>
        <w:position w:val="0"/>
        <w:sz w:val="24"/>
        <w:vertAlign w:val="baseline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  <w:rPr>
        <w:position w:val="0"/>
        <w:sz w:val="24"/>
        <w:vertAlign w:val="baseline"/>
      </w:r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  <w:rPr>
        <w:position w:val="0"/>
        <w:sz w:val="24"/>
        <w:vertAlign w:val="baseline"/>
      </w:r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0" w:leader="none"/>
        </w:tabs>
      </w:pPr>
      <w:rPr>
        <w:position w:val="0"/>
        <w:sz w:val="24"/>
        <w:vertAlign w:val="baseline"/>
      </w:rPr>
    </w:lvl>
  </w:abstractNum>
  <w:abstractNum w:abstractNumId="9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  <w:tabs>
          <w:tab w:val="num" w:pos="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DejaVu Sans" w:cs="DejaVu Sans"/>
        <w:sz w:val="24"/>
        <w:szCs w:val="24"/>
        <w:lang w:val="en-US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31">
    <w:name w:val="List Paragraph"/>
    <w:basedOn w:val="685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85"/>
    <w:next w:val="685"/>
    <w:link w:val="770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38">
    <w:name w:val="Quote"/>
    <w:basedOn w:val="685"/>
    <w:next w:val="685"/>
    <w:link w:val="772"/>
    <w:uiPriority w:val="29"/>
    <w:qFormat/>
    <w:pPr>
      <w:ind w:left="720" w:right="720"/>
    </w:pPr>
    <w:rPr>
      <w:i/>
    </w:rPr>
  </w:style>
  <w:style w:type="paragraph" w:styleId="40">
    <w:name w:val="Intense Quote"/>
    <w:basedOn w:val="685"/>
    <w:next w:val="685"/>
    <w:link w:val="77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c3fdba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c3fdba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c3fdba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c3fdba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c5fdbc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c5fdbc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1ebe03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36b8fb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43c03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dc33fa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c99c00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c9211e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c3fdba" w:themeFill="accent1" w:themeFillTint="34"/>
    </w:tblPr>
    <w:tblStylePr w:type="band1Horz">
      <w:tcPr>
        <w:shd w:val="clear" w:color="ffffff" w:themeColor="accent1" w:themeTint="75" w:fill="79fb64" w:themeFill="accent1" w:themeFillTint="75"/>
      </w:tcPr>
    </w:tblStylePr>
    <w:tblStylePr w:type="band1Vert">
      <w:tcPr>
        <w:shd w:val="clear" w:color="ffffff" w:themeColor="accent1" w:themeTint="75" w:fill="79fb64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18a303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18a303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18a303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18a303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bce7fd" w:themeFill="accent2" w:themeFillTint="32"/>
    </w:tblPr>
    <w:tblStylePr w:type="band1Horz">
      <w:tcPr>
        <w:shd w:val="clear" w:color="ffffff" w:themeColor="accent2" w:themeTint="75" w:fill="64c8fb" w:themeFill="accent2" w:themeFillTint="75"/>
      </w:tcPr>
    </w:tblStylePr>
    <w:tblStylePr w:type="band1Vert">
      <w:tcPr>
        <w:shd w:val="clear" w:color="ffffff" w:themeColor="accent2" w:themeTint="75" w:fill="64c8fb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0369a3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0369a3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0369a3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0369a3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fdd2ba" w:themeFill="accent3" w:themeFillTint="34"/>
    </w:tblPr>
    <w:tblStylePr w:type="band1Horz">
      <w:tcPr>
        <w:shd w:val="clear" w:color="ffffff" w:themeColor="accent3" w:themeTint="75" w:fill="fb9964" w:themeFill="accent3" w:themeFillTint="75"/>
      </w:tcPr>
    </w:tblStylePr>
    <w:tblStylePr w:type="band1Vert">
      <w:tcPr>
        <w:shd w:val="clear" w:color="ffffff" w:themeColor="accent3" w:themeTint="75" w:fill="fb9964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33e03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33e03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33e03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33e03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3bafd" w:themeFill="accent4" w:themeFillTint="34"/>
    </w:tblPr>
    <w:tblStylePr w:type="band1Horz">
      <w:tcPr>
        <w:shd w:val="clear" w:color="ffffff" w:themeColor="accent4" w:themeTint="75" w:fill="e464fb" w:themeFill="accent4" w:themeFillTint="75"/>
      </w:tcPr>
    </w:tblStylePr>
    <w:tblStylePr w:type="band1Vert">
      <w:tcPr>
        <w:shd w:val="clear" w:color="ffffff" w:themeColor="accent4" w:themeTint="75" w:fill="e464fb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e03a3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e03a3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e03a3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e03a3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ffefbf" w:themeFill="accent5" w:themeFillTint="34"/>
    </w:tblPr>
    <w:tblStylePr w:type="band1Horz">
      <w:tcPr>
        <w:shd w:val="clear" w:color="ffffff" w:themeColor="accent5" w:themeTint="75" w:fill="ffdb71" w:themeFill="accent5" w:themeFillTint="75"/>
      </w:tcPr>
    </w:tblStylePr>
    <w:tblStylePr w:type="band1Vert">
      <w:tcPr>
        <w:shd w:val="clear" w:color="ffffff" w:themeColor="accent5" w:themeTint="75" w:fill="ffdb71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c99c00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c99c00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c99c00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c99c00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7cccc" w:themeFill="accent6" w:themeFillTint="34"/>
    </w:tblPr>
    <w:tblStylePr w:type="band1Horz">
      <w:tcPr>
        <w:shd w:val="clear" w:color="ffffff" w:themeColor="accent6" w:themeTint="75" w:fill="ee8f8f" w:themeFill="accent6" w:themeFillTint="75"/>
      </w:tcPr>
    </w:tblStylePr>
    <w:tblStylePr w:type="band1Vert">
      <w:tcPr>
        <w:shd w:val="clear" w:color="ffffff" w:themeColor="accent6" w:themeTint="75" w:fill="ee8f8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c9211e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c9211e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c9211e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c9211e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c3fdba" w:themeFill="accent1" w:themeFillTint="34"/>
      </w:tcPr>
    </w:tblStylePr>
    <w:tblStylePr w:type="band1Vert">
      <w:tcPr>
        <w:shd w:val="clear" w:color="ffffff" w:themeColor="accent1" w:themeTint="34" w:fill="c3fdba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1ebf04" w:themeColor="accent1" w:themeTint="80" w:themeShade="95"/>
      </w:rPr>
    </w:tblStylePr>
    <w:tblStylePr w:type="firstRow">
      <w:rPr>
        <w:b/>
        <w:color w:val="1ebf04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1ebf04" w:themeColor="accent1" w:themeTint="80" w:themeShade="95"/>
      </w:rPr>
    </w:tblStylePr>
    <w:tblStylePr w:type="lastRow">
      <w:rPr>
        <w:b/>
        <w:color w:val="1ebf04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bce7fd" w:themeFill="accent2" w:themeFillTint="32"/>
      </w:tcPr>
    </w:tblStylePr>
    <w:tblStylePr w:type="band1Vert">
      <w:tcPr>
        <w:shd w:val="clear" w:color="ffffff" w:themeColor="accent2" w:themeTint="32" w:fill="bce7fd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0378ae" w:themeColor="accent2" w:themeTint="97" w:themeShade="95"/>
      </w:rPr>
    </w:tblStylePr>
    <w:tblStylePr w:type="firstRow">
      <w:rPr>
        <w:b/>
        <w:color w:val="0378ae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0378ae" w:themeColor="accent2" w:themeTint="97" w:themeShade="95"/>
      </w:rPr>
    </w:tblStylePr>
    <w:tblStylePr w:type="lastRow">
      <w:rPr>
        <w:b/>
        <w:color w:val="0378ae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fdd2ba" w:themeFill="accent3" w:themeFillTint="34"/>
      </w:tcPr>
    </w:tblStylePr>
    <w:tblStylePr w:type="band1Vert">
      <w:tcPr>
        <w:shd w:val="clear" w:color="ffffff" w:themeColor="accent3" w:themeTint="34" w:fill="fdd2ba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e2201" w:themeColor="accent3" w:themeTint="FE" w:themeShade="95"/>
      </w:rPr>
    </w:tblStylePr>
    <w:tblStylePr w:type="firstRow">
      <w:rPr>
        <w:b/>
        <w:color w:val="5e2201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e2201" w:themeColor="accent3" w:themeTint="FE" w:themeShade="95"/>
      </w:rPr>
    </w:tblStylePr>
    <w:tblStylePr w:type="lastRow">
      <w:rPr>
        <w:b/>
        <w:color w:val="5e2201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3bafd" w:themeFill="accent4" w:themeFillTint="34"/>
      </w:tcPr>
    </w:tblStylePr>
    <w:tblStylePr w:type="band1Vert">
      <w:tcPr>
        <w:shd w:val="clear" w:color="ffffff" w:themeColor="accent4" w:themeTint="34" w:fill="f3bafd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9104ab" w:themeColor="accent4" w:themeTint="9A" w:themeShade="95"/>
      </w:rPr>
    </w:tblStylePr>
    <w:tblStylePr w:type="firstRow">
      <w:rPr>
        <w:b/>
        <w:color w:val="9104ab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9104ab" w:themeColor="accent4" w:themeTint="9A" w:themeShade="95"/>
      </w:rPr>
    </w:tblStylePr>
    <w:tblStylePr w:type="lastRow">
      <w:rPr>
        <w:b/>
        <w:color w:val="9104ab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ffefbf" w:themeFill="accent5" w:themeFillTint="34"/>
      </w:tcPr>
    </w:tblStylePr>
    <w:tblStylePr w:type="band1Vert">
      <w:tcPr>
        <w:shd w:val="clear" w:color="ffffff" w:themeColor="accent5" w:themeTint="34" w:fill="ffefb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745700" w:themeColor="accent5" w:themeShade="95"/>
      </w:rPr>
    </w:tblStylePr>
    <w:tblStylePr w:type="firstRow">
      <w:rPr>
        <w:b/>
        <w:color w:val="745700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745700" w:themeColor="accent5" w:themeShade="95"/>
      </w:rPr>
    </w:tblStylePr>
    <w:tblStylePr w:type="lastRow">
      <w:rPr>
        <w:b/>
        <w:color w:val="745700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7cccc" w:themeFill="accent6" w:themeFillTint="34"/>
      </w:tcPr>
    </w:tblStylePr>
    <w:tblStylePr w:type="band1Vert">
      <w:tcPr>
        <w:shd w:val="clear" w:color="ffffff" w:themeColor="accent6" w:themeTint="34" w:fill="f7cccc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745700" w:themeColor="accent5" w:themeShade="95"/>
      </w:rPr>
    </w:tblStylePr>
    <w:tblStylePr w:type="firstRow">
      <w:rPr>
        <w:b/>
        <w:color w:val="745700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745700" w:themeColor="accent5" w:themeShade="95"/>
      </w:rPr>
    </w:tblStylePr>
    <w:tblStylePr w:type="lastRow">
      <w:rPr>
        <w:b/>
        <w:color w:val="745700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1ebf04" w:themeColor="accent1" w:themeTint="80" w:themeShade="95"/>
        <w:sz w:val="22"/>
      </w:rPr>
      <w:tcPr>
        <w:shd w:val="clear" w:color="ffffff" w:themeColor="accent1" w:themeTint="34" w:fill="c3fdba" w:themeFill="accent1" w:themeFillTint="34"/>
      </w:tcPr>
    </w:tblStylePr>
    <w:tblStylePr w:type="band1Vert">
      <w:tcPr>
        <w:shd w:val="clear" w:color="ffffff" w:themeColor="accent1" w:themeTint="34" w:fill="c3fdba" w:themeFill="accent1" w:themeFillTint="34"/>
      </w:tcPr>
    </w:tblStylePr>
    <w:tblStylePr w:type="band2Horz">
      <w:rPr>
        <w:rFonts w:ascii="Arial" w:hAnsi="Arial"/>
        <w:color w:val="1ebf04" w:themeColor="accent1" w:themeTint="80" w:themeShade="95"/>
        <w:sz w:val="22"/>
      </w:rPr>
    </w:tblStylePr>
    <w:tblStylePr w:type="firstCol">
      <w:rPr>
        <w:rFonts w:ascii="Arial" w:hAnsi="Arial"/>
        <w:i/>
        <w:color w:val="1ebf04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1ebf04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1ebf04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1ebf04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0378ae" w:themeColor="accent2" w:themeTint="97" w:themeShade="95"/>
        <w:sz w:val="22"/>
      </w:rPr>
      <w:tcPr>
        <w:shd w:val="clear" w:color="ffffff" w:themeColor="accent2" w:themeTint="32" w:fill="bce7fd" w:themeFill="accent2" w:themeFillTint="32"/>
      </w:tcPr>
    </w:tblStylePr>
    <w:tblStylePr w:type="band1Vert">
      <w:tcPr>
        <w:shd w:val="clear" w:color="ffffff" w:themeColor="accent2" w:themeTint="32" w:fill="bce7fd" w:themeFill="accent2" w:themeFillTint="32"/>
      </w:tcPr>
    </w:tblStylePr>
    <w:tblStylePr w:type="band2Horz">
      <w:rPr>
        <w:rFonts w:ascii="Arial" w:hAnsi="Arial"/>
        <w:color w:val="0378ae" w:themeColor="accent2" w:themeTint="97" w:themeShade="95"/>
        <w:sz w:val="22"/>
      </w:rPr>
    </w:tblStylePr>
    <w:tblStylePr w:type="firstCol">
      <w:rPr>
        <w:rFonts w:ascii="Arial" w:hAnsi="Arial"/>
        <w:i/>
        <w:color w:val="0378ae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0378ae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0378ae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0378ae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e2201" w:themeColor="accent3" w:themeTint="FE" w:themeShade="95"/>
        <w:sz w:val="22"/>
      </w:rPr>
      <w:tcPr>
        <w:shd w:val="clear" w:color="ffffff" w:themeColor="accent3" w:themeTint="34" w:fill="fdd2ba" w:themeFill="accent3" w:themeFillTint="34"/>
      </w:tcPr>
    </w:tblStylePr>
    <w:tblStylePr w:type="band1Vert">
      <w:tcPr>
        <w:shd w:val="clear" w:color="ffffff" w:themeColor="accent3" w:themeTint="34" w:fill="fdd2ba" w:themeFill="accent3" w:themeFillTint="34"/>
      </w:tcPr>
    </w:tblStylePr>
    <w:tblStylePr w:type="band2Horz">
      <w:rPr>
        <w:rFonts w:ascii="Arial" w:hAnsi="Arial"/>
        <w:color w:val="5e2201" w:themeColor="accent3" w:themeTint="FE" w:themeShade="95"/>
        <w:sz w:val="22"/>
      </w:rPr>
    </w:tblStylePr>
    <w:tblStylePr w:type="firstCol">
      <w:rPr>
        <w:rFonts w:ascii="Arial" w:hAnsi="Arial"/>
        <w:i/>
        <w:color w:val="5e2201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e2201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e2201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e2201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9104ab" w:themeColor="accent4" w:themeTint="9A" w:themeShade="95"/>
        <w:sz w:val="22"/>
      </w:rPr>
      <w:tcPr>
        <w:shd w:val="clear" w:color="ffffff" w:themeColor="accent4" w:themeTint="34" w:fill="f3bafd" w:themeFill="accent4" w:themeFillTint="34"/>
      </w:tcPr>
    </w:tblStylePr>
    <w:tblStylePr w:type="band1Vert">
      <w:tcPr>
        <w:shd w:val="clear" w:color="ffffff" w:themeColor="accent4" w:themeTint="34" w:fill="f3bafd" w:themeFill="accent4" w:themeFillTint="34"/>
      </w:tcPr>
    </w:tblStylePr>
    <w:tblStylePr w:type="band2Horz">
      <w:rPr>
        <w:rFonts w:ascii="Arial" w:hAnsi="Arial"/>
        <w:color w:val="9104ab" w:themeColor="accent4" w:themeTint="9A" w:themeShade="95"/>
        <w:sz w:val="22"/>
      </w:rPr>
    </w:tblStylePr>
    <w:tblStylePr w:type="firstCol">
      <w:rPr>
        <w:rFonts w:ascii="Arial" w:hAnsi="Arial"/>
        <w:i/>
        <w:color w:val="9104ab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9104ab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9104ab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104ab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745700" w:themeColor="accent5" w:themeShade="95"/>
        <w:sz w:val="22"/>
      </w:rPr>
      <w:tcPr>
        <w:shd w:val="clear" w:color="ffffff" w:themeColor="accent5" w:themeTint="34" w:fill="ffefbf" w:themeFill="accent5" w:themeFillTint="34"/>
      </w:tcPr>
    </w:tblStylePr>
    <w:tblStylePr w:type="band1Vert">
      <w:tcPr>
        <w:shd w:val="clear" w:color="ffffff" w:themeColor="accent5" w:themeTint="34" w:fill="ffefbf" w:themeFill="accent5" w:themeFillTint="34"/>
      </w:tcPr>
    </w:tblStylePr>
    <w:tblStylePr w:type="band2Horz">
      <w:rPr>
        <w:rFonts w:ascii="Arial" w:hAnsi="Arial"/>
        <w:color w:val="745700" w:themeColor="accent5" w:themeShade="95"/>
        <w:sz w:val="22"/>
      </w:rPr>
    </w:tblStylePr>
    <w:tblStylePr w:type="firstCol">
      <w:rPr>
        <w:rFonts w:ascii="Arial" w:hAnsi="Arial"/>
        <w:i/>
        <w:color w:val="745700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745700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745700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745700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741111" w:themeColor="accent6" w:themeShade="95"/>
        <w:sz w:val="22"/>
      </w:rPr>
      <w:tcPr>
        <w:shd w:val="clear" w:color="ffffff" w:themeColor="accent6" w:themeTint="34" w:fill="f7cccc" w:themeFill="accent6" w:themeFillTint="34"/>
      </w:tcPr>
    </w:tblStylePr>
    <w:tblStylePr w:type="band1Vert">
      <w:tcPr>
        <w:shd w:val="clear" w:color="ffffff" w:themeColor="accent6" w:themeTint="34" w:fill="f7cccc" w:themeFill="accent6" w:themeFillTint="34"/>
      </w:tcPr>
    </w:tblStylePr>
    <w:tblStylePr w:type="band2Horz">
      <w:rPr>
        <w:rFonts w:ascii="Arial" w:hAnsi="Arial"/>
        <w:color w:val="741111" w:themeColor="accent6" w:themeShade="95"/>
        <w:sz w:val="22"/>
      </w:rPr>
    </w:tblStylePr>
    <w:tblStylePr w:type="firstCol">
      <w:rPr>
        <w:rFonts w:ascii="Arial" w:hAnsi="Arial"/>
        <w:i/>
        <w:color w:val="741111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741111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741111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741111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b6fdaa" w:themeFill="accent1" w:themeFillTint="40"/>
      </w:tcPr>
    </w:tblStylePr>
    <w:tblStylePr w:type="band1Vert">
      <w:tcPr>
        <w:shd w:val="clear" w:color="ffffff" w:themeColor="accent1" w:themeTint="40" w:fill="b6fdaa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aae1fd" w:themeFill="accent2" w:themeFillTint="40"/>
      </w:tcPr>
    </w:tblStylePr>
    <w:tblStylePr w:type="band1Vert">
      <w:tcPr>
        <w:shd w:val="clear" w:color="ffffff" w:themeColor="accent2" w:themeTint="40" w:fill="aae1fd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fdc7aa" w:themeFill="accent3" w:themeFillTint="40"/>
      </w:tcPr>
    </w:tblStylePr>
    <w:tblStylePr w:type="band1Vert">
      <w:tcPr>
        <w:shd w:val="clear" w:color="ffffff" w:themeColor="accent3" w:themeTint="40" w:fill="fdc7aa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0aafd" w:themeFill="accent4" w:themeFillTint="40"/>
      </w:tcPr>
    </w:tblStylePr>
    <w:tblStylePr w:type="band1Vert">
      <w:tcPr>
        <w:shd w:val="clear" w:color="ffffff" w:themeColor="accent4" w:themeTint="40" w:fill="f0aafd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ffebb1" w:themeFill="accent5" w:themeFillTint="40"/>
      </w:tcPr>
    </w:tblStylePr>
    <w:tblStylePr w:type="band1Vert">
      <w:tcPr>
        <w:shd w:val="clear" w:color="ffffff" w:themeColor="accent5" w:themeTint="40" w:fill="ffebb1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5c2c2" w:themeFill="accent6" w:themeFillTint="40"/>
      </w:tcPr>
    </w:tblStylePr>
    <w:tblStylePr w:type="band1Vert">
      <w:tcPr>
        <w:shd w:val="clear" w:color="ffffff" w:themeColor="accent6" w:themeTint="40" w:fill="f5c2c2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b6fdaa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b6fdaa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aae1fd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aae1fd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fdc7aa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fdc7aa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0aafd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0aafd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ffebb1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ffebb1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5c2c2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5c2c2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18a303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36b8fb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fa7a35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dc33fa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ffd042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e96e6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b6fdaa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b6fdaa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18a303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aae1fd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aae1fd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0369a3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fdc7aa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fdc7aa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33e03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0aafd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0aafd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e03a3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ffebb1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ffebb1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c99c00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5c2c2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5c2c2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c9211e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18a303" w:themeFill="accent1"/>
    </w:tblPr>
    <w:tblStylePr w:type="band1Horz">
      <w:tcPr>
        <w:shd w:val="clear" w:color="ffffff" w:themeColor="accent1" w:fill="18a303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18a303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18a303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18a303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36b8fb" w:themeFill="accent2" w:themeFillTint="97"/>
    </w:tblPr>
    <w:tblStylePr w:type="band1Horz">
      <w:tcPr>
        <w:shd w:val="clear" w:color="ffffff" w:themeColor="accent2" w:themeTint="97" w:fill="36b8fb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36b8fb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36b8fb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36b8fb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fa7a35" w:themeFill="accent3" w:themeFillTint="98"/>
    </w:tblPr>
    <w:tblStylePr w:type="band1Horz">
      <w:tcPr>
        <w:shd w:val="clear" w:color="ffffff" w:themeColor="accent3" w:themeTint="98" w:fill="fa7a35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fa7a35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fa7a35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fa7a35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dc33fa" w:themeFill="accent4" w:themeFillTint="9A"/>
    </w:tblPr>
    <w:tblStylePr w:type="band1Horz">
      <w:tcPr>
        <w:shd w:val="clear" w:color="ffffff" w:themeColor="accent4" w:themeTint="9A" w:fill="dc33fa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dc33fa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dc33fa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dc33fa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ffd042" w:themeFill="accent5" w:themeFillTint="9A"/>
    </w:tblPr>
    <w:tblStylePr w:type="band1Horz">
      <w:tcPr>
        <w:shd w:val="clear" w:color="ffffff" w:themeColor="accent5" w:themeTint="9A" w:fill="ffd042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ffd042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ffd042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ffd042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e96e6e" w:themeFill="accent6" w:themeFillTint="98"/>
    </w:tblPr>
    <w:tblStylePr w:type="band1Horz">
      <w:tcPr>
        <w:shd w:val="clear" w:color="ffffff" w:themeColor="accent6" w:themeTint="98" w:fill="e96e6e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e96e6e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e96e6e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e96e6e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b6fdaa" w:themeFill="accent1" w:themeFillTint="40"/>
      </w:tcPr>
    </w:tblStylePr>
    <w:tblStylePr w:type="band1Vert">
      <w:tcPr>
        <w:shd w:val="clear" w:color="ffffff" w:themeColor="accent1" w:themeTint="40" w:fill="b6fdaa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0e5e01" w:themeColor="accent1" w:themeShade="95"/>
      </w:rPr>
    </w:tblStylePr>
    <w:tblStylePr w:type="firstRow">
      <w:rPr>
        <w:b/>
        <w:color w:val="0e5e0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e5e01" w:themeColor="accent1" w:themeShade="95"/>
      </w:rPr>
    </w:tblStylePr>
    <w:tblStylePr w:type="lastRow">
      <w:rPr>
        <w:b/>
        <w:color w:val="0e5e0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aae1fd" w:themeFill="accent2" w:themeFillTint="40"/>
      </w:tcPr>
    </w:tblStylePr>
    <w:tblStylePr w:type="band1Vert">
      <w:tcPr>
        <w:shd w:val="clear" w:color="ffffff" w:themeColor="accent2" w:themeTint="40" w:fill="aae1fd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0378ae" w:themeColor="accent2" w:themeTint="97" w:themeShade="95"/>
      </w:rPr>
    </w:tblStylePr>
    <w:tblStylePr w:type="firstRow">
      <w:rPr>
        <w:b/>
        <w:color w:val="0378ae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0378ae" w:themeColor="accent2" w:themeTint="97" w:themeShade="95"/>
      </w:rPr>
    </w:tblStylePr>
    <w:tblStylePr w:type="lastRow">
      <w:rPr>
        <w:b/>
        <w:color w:val="0378ae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fdc7aa" w:themeFill="accent3" w:themeFillTint="40"/>
      </w:tcPr>
    </w:tblStylePr>
    <w:tblStylePr w:type="band1Vert">
      <w:tcPr>
        <w:shd w:val="clear" w:color="ffffff" w:themeColor="accent3" w:themeTint="40" w:fill="fdc7aa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ab3b04" w:themeColor="accent3" w:themeTint="98" w:themeShade="95"/>
      </w:rPr>
    </w:tblStylePr>
    <w:tblStylePr w:type="firstRow">
      <w:rPr>
        <w:b/>
        <w:color w:val="ab3b04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ab3b04" w:themeColor="accent3" w:themeTint="98" w:themeShade="95"/>
      </w:rPr>
    </w:tblStylePr>
    <w:tblStylePr w:type="lastRow">
      <w:rPr>
        <w:b/>
        <w:color w:val="ab3b04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0aafd" w:themeFill="accent4" w:themeFillTint="40"/>
      </w:tcPr>
    </w:tblStylePr>
    <w:tblStylePr w:type="band1Vert">
      <w:tcPr>
        <w:shd w:val="clear" w:color="ffffff" w:themeColor="accent4" w:themeTint="40" w:fill="f0aafd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9104ab" w:themeColor="accent4" w:themeTint="9A" w:themeShade="95"/>
      </w:rPr>
    </w:tblStylePr>
    <w:tblStylePr w:type="firstRow">
      <w:rPr>
        <w:b/>
        <w:color w:val="9104ab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9104ab" w:themeColor="accent4" w:themeTint="9A" w:themeShade="95"/>
      </w:rPr>
    </w:tblStylePr>
    <w:tblStylePr w:type="lastRow">
      <w:rPr>
        <w:b/>
        <w:color w:val="9104ab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ffebb1" w:themeFill="accent5" w:themeFillTint="40"/>
      </w:tcPr>
    </w:tblStylePr>
    <w:tblStylePr w:type="band1Vert">
      <w:tcPr>
        <w:shd w:val="clear" w:color="ffffff" w:themeColor="accent5" w:themeTint="40" w:fill="ffebb1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ba8700" w:themeColor="accent5" w:themeTint="9A" w:themeShade="95"/>
      </w:rPr>
    </w:tblStylePr>
    <w:tblStylePr w:type="firstRow">
      <w:rPr>
        <w:b/>
        <w:color w:val="ba870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ba8700" w:themeColor="accent5" w:themeTint="9A" w:themeShade="95"/>
      </w:rPr>
    </w:tblStylePr>
    <w:tblStylePr w:type="lastRow">
      <w:rPr>
        <w:b/>
        <w:color w:val="ba870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5c2c2" w:themeFill="accent6" w:themeFillTint="40"/>
      </w:tcPr>
    </w:tblStylePr>
    <w:tblStylePr w:type="band1Vert">
      <w:tcPr>
        <w:shd w:val="clear" w:color="ffffff" w:themeColor="accent6" w:themeTint="40" w:fill="f5c2c2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ad1a1a" w:themeColor="accent6" w:themeTint="98" w:themeShade="95"/>
      </w:rPr>
    </w:tblStylePr>
    <w:tblStylePr w:type="firstRow">
      <w:rPr>
        <w:b/>
        <w:color w:val="ad1a1a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ad1a1a" w:themeColor="accent6" w:themeTint="98" w:themeShade="95"/>
      </w:rPr>
    </w:tblStylePr>
    <w:tblStylePr w:type="lastRow">
      <w:rPr>
        <w:b/>
        <w:color w:val="ad1a1a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0e5e01" w:themeColor="accent1" w:themeShade="95"/>
        <w:sz w:val="22"/>
      </w:rPr>
      <w:tcPr>
        <w:shd w:val="clear" w:color="ffffff" w:themeColor="accent1" w:themeTint="40" w:fill="b6fdaa" w:themeFill="accent1" w:themeFillTint="40"/>
      </w:tcPr>
    </w:tblStylePr>
    <w:tblStylePr w:type="band1Vert">
      <w:tcPr>
        <w:shd w:val="clear" w:color="ffffff" w:themeColor="accent1" w:themeTint="40" w:fill="b6fdaa" w:themeFill="accent1" w:themeFillTint="40"/>
      </w:tcPr>
    </w:tblStylePr>
    <w:tblStylePr w:type="band2Horz">
      <w:rPr>
        <w:rFonts w:ascii="Arial" w:hAnsi="Arial"/>
        <w:color w:val="0e5e01" w:themeColor="accent1" w:themeShade="95"/>
        <w:sz w:val="22"/>
      </w:rPr>
    </w:tblStylePr>
    <w:tblStylePr w:type="firstCol">
      <w:rPr>
        <w:rFonts w:ascii="Arial" w:hAnsi="Arial"/>
        <w:i/>
        <w:color w:val="0e5e0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0e5e0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0e5e0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e5e0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0e5e0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0378ae" w:themeColor="accent2" w:themeTint="97" w:themeShade="95"/>
        <w:sz w:val="22"/>
      </w:rPr>
      <w:tcPr>
        <w:shd w:val="clear" w:color="ffffff" w:themeColor="accent2" w:themeTint="40" w:fill="aae1fd" w:themeFill="accent2" w:themeFillTint="40"/>
      </w:tcPr>
    </w:tblStylePr>
    <w:tblStylePr w:type="band1Vert">
      <w:tcPr>
        <w:shd w:val="clear" w:color="ffffff" w:themeColor="accent2" w:themeTint="40" w:fill="aae1fd" w:themeFill="accent2" w:themeFillTint="40"/>
      </w:tcPr>
    </w:tblStylePr>
    <w:tblStylePr w:type="band2Horz">
      <w:rPr>
        <w:rFonts w:ascii="Arial" w:hAnsi="Arial"/>
        <w:color w:val="0378ae" w:themeColor="accent2" w:themeTint="97" w:themeShade="95"/>
        <w:sz w:val="22"/>
      </w:rPr>
    </w:tblStylePr>
    <w:tblStylePr w:type="firstCol">
      <w:rPr>
        <w:rFonts w:ascii="Arial" w:hAnsi="Arial"/>
        <w:i/>
        <w:color w:val="0378ae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0378ae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0378ae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378ae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0378ae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ab3b04" w:themeColor="accent3" w:themeTint="98" w:themeShade="95"/>
        <w:sz w:val="22"/>
      </w:rPr>
      <w:tcPr>
        <w:shd w:val="clear" w:color="ffffff" w:themeColor="accent3" w:themeTint="40" w:fill="fdc7aa" w:themeFill="accent3" w:themeFillTint="40"/>
      </w:tcPr>
    </w:tblStylePr>
    <w:tblStylePr w:type="band1Vert">
      <w:tcPr>
        <w:shd w:val="clear" w:color="ffffff" w:themeColor="accent3" w:themeTint="40" w:fill="fdc7aa" w:themeFill="accent3" w:themeFillTint="40"/>
      </w:tcPr>
    </w:tblStylePr>
    <w:tblStylePr w:type="band2Horz">
      <w:rPr>
        <w:rFonts w:ascii="Arial" w:hAnsi="Arial"/>
        <w:color w:val="ab3b04" w:themeColor="accent3" w:themeTint="98" w:themeShade="95"/>
        <w:sz w:val="22"/>
      </w:rPr>
    </w:tblStylePr>
    <w:tblStylePr w:type="firstCol">
      <w:rPr>
        <w:rFonts w:ascii="Arial" w:hAnsi="Arial"/>
        <w:i/>
        <w:color w:val="ab3b04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ab3b04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ab3b04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ab3b04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ab3b04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9104ab" w:themeColor="accent4" w:themeTint="9A" w:themeShade="95"/>
        <w:sz w:val="22"/>
      </w:rPr>
      <w:tcPr>
        <w:shd w:val="clear" w:color="ffffff" w:themeColor="accent4" w:themeTint="40" w:fill="f0aafd" w:themeFill="accent4" w:themeFillTint="40"/>
      </w:tcPr>
    </w:tblStylePr>
    <w:tblStylePr w:type="band1Vert">
      <w:tcPr>
        <w:shd w:val="clear" w:color="ffffff" w:themeColor="accent4" w:themeTint="40" w:fill="f0aafd" w:themeFill="accent4" w:themeFillTint="40"/>
      </w:tcPr>
    </w:tblStylePr>
    <w:tblStylePr w:type="band2Horz">
      <w:rPr>
        <w:rFonts w:ascii="Arial" w:hAnsi="Arial"/>
        <w:color w:val="9104ab" w:themeColor="accent4" w:themeTint="9A" w:themeShade="95"/>
        <w:sz w:val="22"/>
      </w:rPr>
    </w:tblStylePr>
    <w:tblStylePr w:type="firstCol">
      <w:rPr>
        <w:rFonts w:ascii="Arial" w:hAnsi="Arial"/>
        <w:i/>
        <w:color w:val="9104ab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9104ab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9104ab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104ab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104ab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ba8700" w:themeColor="accent5" w:themeTint="9A" w:themeShade="95"/>
        <w:sz w:val="22"/>
      </w:rPr>
      <w:tcPr>
        <w:shd w:val="clear" w:color="ffffff" w:themeColor="accent5" w:themeTint="40" w:fill="ffebb1" w:themeFill="accent5" w:themeFillTint="40"/>
      </w:tcPr>
    </w:tblStylePr>
    <w:tblStylePr w:type="band1Vert">
      <w:tcPr>
        <w:shd w:val="clear" w:color="ffffff" w:themeColor="accent5" w:themeTint="40" w:fill="ffebb1" w:themeFill="accent5" w:themeFillTint="40"/>
      </w:tcPr>
    </w:tblStylePr>
    <w:tblStylePr w:type="band2Horz">
      <w:rPr>
        <w:rFonts w:ascii="Arial" w:hAnsi="Arial"/>
        <w:color w:val="ba8700" w:themeColor="accent5" w:themeTint="9A" w:themeShade="95"/>
        <w:sz w:val="22"/>
      </w:rPr>
    </w:tblStylePr>
    <w:tblStylePr w:type="firstCol">
      <w:rPr>
        <w:rFonts w:ascii="Arial" w:hAnsi="Arial"/>
        <w:i/>
        <w:color w:val="ba870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ba870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ba870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ba870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ba870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ad1a1a" w:themeColor="accent6" w:themeTint="98" w:themeShade="95"/>
        <w:sz w:val="22"/>
      </w:rPr>
      <w:tcPr>
        <w:shd w:val="clear" w:color="ffffff" w:themeColor="accent6" w:themeTint="40" w:fill="f5c2c2" w:themeFill="accent6" w:themeFillTint="40"/>
      </w:tcPr>
    </w:tblStylePr>
    <w:tblStylePr w:type="band1Vert">
      <w:tcPr>
        <w:shd w:val="clear" w:color="ffffff" w:themeColor="accent6" w:themeTint="40" w:fill="f5c2c2" w:themeFill="accent6" w:themeFillTint="40"/>
      </w:tcPr>
    </w:tblStylePr>
    <w:tblStylePr w:type="band2Horz">
      <w:rPr>
        <w:rFonts w:ascii="Arial" w:hAnsi="Arial"/>
        <w:color w:val="ad1a1a" w:themeColor="accent6" w:themeTint="98" w:themeShade="95"/>
        <w:sz w:val="22"/>
      </w:rPr>
    </w:tblStylePr>
    <w:tblStylePr w:type="firstCol">
      <w:rPr>
        <w:rFonts w:ascii="Arial" w:hAnsi="Arial"/>
        <w:i/>
        <w:color w:val="ad1a1a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ad1a1a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ad1a1a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ad1a1a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ad1a1a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a3fc95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a3fc95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c99c00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c99c00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c99c00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c99c00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c9211e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c9211e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c9211e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c9211e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a3fc95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a3fc95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c99c00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c99c00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c99c00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c99c00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c9211e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c9211e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c9211e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c9211e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90">
    <w:name w:val="TOC Heading"/>
    <w:uiPriority w:val="39"/>
    <w:unhideWhenUsed/>
  </w:style>
  <w:style w:type="paragraph" w:styleId="191">
    <w:name w:val="table of figures"/>
    <w:basedOn w:val="685"/>
    <w:next w:val="685"/>
    <w:uiPriority w:val="99"/>
    <w:unhideWhenUsed/>
    <w:pPr>
      <w:spacing w:after="0" w:afterAutospacing="0"/>
    </w:pPr>
  </w:style>
  <w:style w:type="paragraph" w:styleId="685" w:default="1">
    <w:name w:val="Normal"/>
    <w:qFormat/>
    <w:pPr>
      <w:spacing w:before="0" w:after="160" w:line="256" w:lineRule="auto"/>
      <w:widowControl/>
    </w:pPr>
    <w:rPr>
      <w:rFonts w:ascii="Calibri" w:hAnsi="Calibri" w:eastAsia="Calibri" w:cs="Times New Roman"/>
      <w:color w:val="auto"/>
      <w:sz w:val="22"/>
      <w:szCs w:val="22"/>
      <w:lang w:val="ru-RU" w:eastAsia="zh-CN" w:bidi="ar-SA"/>
    </w:rPr>
  </w:style>
  <w:style w:type="paragraph" w:styleId="686">
    <w:name w:val="Heading 1"/>
    <w:basedOn w:val="685"/>
    <w:next w:val="685"/>
    <w:qFormat/>
    <w:pPr>
      <w:numPr>
        <w:ilvl w:val="0"/>
        <w:numId w:val="1"/>
      </w:num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  <w:lang w:val="en-US"/>
    </w:rPr>
  </w:style>
  <w:style w:type="paragraph" w:styleId="687">
    <w:name w:val="Heading 2"/>
    <w:basedOn w:val="685"/>
    <w:next w:val="685"/>
    <w:qFormat/>
    <w:pPr>
      <w:numPr>
        <w:ilvl w:val="1"/>
        <w:numId w:val="1"/>
      </w:numPr>
      <w:keepLines/>
      <w:keepNext/>
      <w:spacing w:before="360" w:after="200"/>
      <w:outlineLvl w:val="1"/>
    </w:pPr>
    <w:rPr>
      <w:rFonts w:ascii="Arial" w:hAnsi="Arial" w:eastAsia="Arial" w:cs="Arial"/>
      <w:sz w:val="34"/>
      <w:szCs w:val="20"/>
      <w:lang w:val="en-US"/>
    </w:rPr>
  </w:style>
  <w:style w:type="paragraph" w:styleId="688">
    <w:name w:val="Heading 3"/>
    <w:basedOn w:val="685"/>
    <w:next w:val="685"/>
    <w:qFormat/>
    <w:pPr>
      <w:numPr>
        <w:ilvl w:val="2"/>
        <w:numId w:val="1"/>
      </w:num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  <w:lang w:val="en-US"/>
    </w:rPr>
  </w:style>
  <w:style w:type="paragraph" w:styleId="689">
    <w:name w:val="Heading 4"/>
    <w:basedOn w:val="685"/>
    <w:next w:val="685"/>
    <w:qFormat/>
    <w:pPr>
      <w:numPr>
        <w:ilvl w:val="3"/>
        <w:numId w:val="1"/>
      </w:num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  <w:lang w:val="en-US"/>
    </w:rPr>
  </w:style>
  <w:style w:type="paragraph" w:styleId="690">
    <w:name w:val="Heading 5"/>
    <w:basedOn w:val="685"/>
    <w:next w:val="685"/>
    <w:qFormat/>
    <w:pPr>
      <w:numPr>
        <w:ilvl w:val="4"/>
        <w:numId w:val="1"/>
      </w:num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  <w:lang w:val="en-US"/>
    </w:rPr>
  </w:style>
  <w:style w:type="paragraph" w:styleId="691">
    <w:name w:val="Heading 6"/>
    <w:basedOn w:val="685"/>
    <w:next w:val="685"/>
    <w:qFormat/>
    <w:pPr>
      <w:numPr>
        <w:ilvl w:val="5"/>
        <w:numId w:val="1"/>
      </w:numPr>
      <w:keepLines/>
      <w:keepNext/>
      <w:spacing w:before="320" w:after="200"/>
      <w:outlineLvl w:val="5"/>
    </w:pPr>
    <w:rPr>
      <w:rFonts w:ascii="Arial" w:hAnsi="Arial" w:eastAsia="Arial" w:cs="Arial"/>
      <w:b/>
      <w:bCs/>
      <w:lang w:val="en-US"/>
    </w:rPr>
  </w:style>
  <w:style w:type="paragraph" w:styleId="692">
    <w:name w:val="Heading 7"/>
    <w:basedOn w:val="685"/>
    <w:next w:val="685"/>
    <w:qFormat/>
    <w:pPr>
      <w:numPr>
        <w:ilvl w:val="6"/>
        <w:numId w:val="1"/>
      </w:num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lang w:val="en-US"/>
    </w:rPr>
  </w:style>
  <w:style w:type="paragraph" w:styleId="693">
    <w:name w:val="Heading 8"/>
    <w:basedOn w:val="685"/>
    <w:next w:val="685"/>
    <w:qFormat/>
    <w:pPr>
      <w:numPr>
        <w:ilvl w:val="7"/>
        <w:numId w:val="1"/>
      </w:numPr>
      <w:keepLines/>
      <w:keepNext/>
      <w:spacing w:before="320" w:after="200"/>
      <w:outlineLvl w:val="7"/>
    </w:pPr>
    <w:rPr>
      <w:rFonts w:ascii="Arial" w:hAnsi="Arial" w:eastAsia="Arial" w:cs="Arial"/>
      <w:i/>
      <w:iCs/>
      <w:lang w:val="en-US"/>
    </w:rPr>
  </w:style>
  <w:style w:type="paragraph" w:styleId="694">
    <w:name w:val="Heading 9"/>
    <w:basedOn w:val="685"/>
    <w:next w:val="685"/>
    <w:qFormat/>
    <w:pPr>
      <w:numPr>
        <w:ilvl w:val="8"/>
        <w:numId w:val="1"/>
      </w:num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  <w:lang w:val="en-US"/>
    </w:rPr>
  </w:style>
  <w:style w:type="character" w:styleId="695">
    <w:name w:val="WW8Num1z0"/>
    <w:qFormat/>
  </w:style>
  <w:style w:type="character" w:styleId="696">
    <w:name w:val="WW8Num2z0"/>
    <w:qFormat/>
    <w:rPr>
      <w:rFonts w:ascii="Symbol" w:hAnsi="Symbol" w:eastAsia="Symbol" w:cs="Symbol"/>
    </w:rPr>
  </w:style>
  <w:style w:type="character" w:styleId="697">
    <w:name w:val="WW8Num2z1"/>
    <w:qFormat/>
    <w:rPr>
      <w:rFonts w:ascii="Courier New" w:hAnsi="Courier New" w:eastAsia="Courier New" w:cs="Courier New"/>
    </w:rPr>
  </w:style>
  <w:style w:type="character" w:styleId="698">
    <w:name w:val="WW8Num2z2"/>
    <w:qFormat/>
    <w:rPr>
      <w:rFonts w:ascii="Wingdings" w:hAnsi="Wingdings" w:eastAsia="Wingdings" w:cs="Wingdings"/>
    </w:rPr>
  </w:style>
  <w:style w:type="character" w:styleId="699">
    <w:name w:val="WW8Num3z0"/>
    <w:qFormat/>
    <w:rPr>
      <w:rFonts w:ascii="Calibri" w:hAnsi="Calibri" w:eastAsia="Calibri" w:cs="Calibri"/>
    </w:rPr>
  </w:style>
  <w:style w:type="character" w:styleId="700">
    <w:name w:val="WW8Num5z0"/>
    <w:qFormat/>
    <w:rPr>
      <w:rFonts w:ascii="Symbol" w:hAnsi="Symbol" w:eastAsia="Symbol" w:cs="Symbol"/>
    </w:rPr>
  </w:style>
  <w:style w:type="character" w:styleId="701">
    <w:name w:val="WW8Num5z1"/>
    <w:qFormat/>
    <w:rPr>
      <w:rFonts w:ascii="Courier New" w:hAnsi="Courier New" w:eastAsia="Courier New" w:cs="Courier New"/>
    </w:rPr>
  </w:style>
  <w:style w:type="character" w:styleId="702">
    <w:name w:val="WW8Num5z2"/>
    <w:qFormat/>
    <w:rPr>
      <w:rFonts w:ascii="Wingdings" w:hAnsi="Wingdings" w:eastAsia="Wingdings" w:cs="Wingdings"/>
    </w:rPr>
  </w:style>
  <w:style w:type="character" w:styleId="703">
    <w:name w:val="WW8Num6z0"/>
    <w:qFormat/>
    <w:rPr>
      <w:rFonts w:ascii="Liberation Sans;Arial" w:hAnsi="Liberation Sans;Arial" w:cs="Liberation Sans;Arial"/>
      <w:b/>
      <w:color w:val="222222"/>
    </w:rPr>
  </w:style>
  <w:style w:type="character" w:styleId="704">
    <w:name w:val="WW8Num8z0"/>
    <w:qFormat/>
  </w:style>
  <w:style w:type="character" w:styleId="705">
    <w:name w:val="WW8Num9z0"/>
    <w:qFormat/>
  </w:style>
  <w:style w:type="character" w:styleId="706">
    <w:name w:val="WW8Num10z0"/>
    <w:qFormat/>
    <w:rPr>
      <w:rFonts w:ascii="Calibri" w:hAnsi="Calibri" w:eastAsia="Calibri" w:cs="Calibri"/>
    </w:rPr>
  </w:style>
  <w:style w:type="character" w:styleId="707">
    <w:name w:val="WW8Num11z0"/>
    <w:qFormat/>
  </w:style>
  <w:style w:type="character" w:styleId="708">
    <w:name w:val="WW8Num12z0"/>
    <w:qFormat/>
    <w:rPr>
      <w:rFonts w:ascii="Calibri" w:hAnsi="Calibri" w:eastAsia="Calibri" w:cs="Times New Roman"/>
    </w:rPr>
  </w:style>
  <w:style w:type="character" w:styleId="709">
    <w:name w:val="WW8Num13z0"/>
    <w:qFormat/>
    <w:rPr>
      <w:rFonts w:ascii="Calibri" w:hAnsi="Calibri" w:eastAsia="Calibri" w:cs="Calibri"/>
    </w:rPr>
  </w:style>
  <w:style w:type="character" w:styleId="710">
    <w:name w:val="WW8Num14z0"/>
    <w:qFormat/>
  </w:style>
  <w:style w:type="character" w:styleId="711">
    <w:name w:val="WW8Num15z0"/>
    <w:qFormat/>
    <w:rPr>
      <w:rFonts w:ascii="Arial" w:hAnsi="Arial" w:eastAsia="Arial" w:cs="Arial"/>
    </w:rPr>
  </w:style>
  <w:style w:type="character" w:styleId="712">
    <w:name w:val="WW8Num15z1"/>
    <w:qFormat/>
    <w:rPr>
      <w:rFonts w:ascii="Courier New" w:hAnsi="Courier New" w:eastAsia="Courier New" w:cs="Courier New"/>
    </w:rPr>
  </w:style>
  <w:style w:type="character" w:styleId="713">
    <w:name w:val="WW8Num15z2"/>
    <w:qFormat/>
    <w:rPr>
      <w:rFonts w:ascii="Wingdings" w:hAnsi="Wingdings" w:eastAsia="Wingdings" w:cs="Wingdings"/>
    </w:rPr>
  </w:style>
  <w:style w:type="character" w:styleId="714">
    <w:name w:val="WW8Num15z3"/>
    <w:qFormat/>
    <w:rPr>
      <w:rFonts w:ascii="Symbol" w:hAnsi="Symbol" w:eastAsia="Symbol" w:cs="Symbol"/>
    </w:rPr>
  </w:style>
  <w:style w:type="character" w:styleId="715">
    <w:name w:val="WW8Num17z0"/>
    <w:qFormat/>
  </w:style>
  <w:style w:type="character" w:styleId="716">
    <w:name w:val="WW8Num18z0"/>
    <w:qFormat/>
  </w:style>
  <w:style w:type="character" w:styleId="717">
    <w:name w:val="WW8Num19z0"/>
    <w:qFormat/>
    <w:rPr>
      <w:rFonts w:ascii="Symbol" w:hAnsi="Symbol" w:eastAsia="Symbol" w:cs="Symbol"/>
    </w:rPr>
  </w:style>
  <w:style w:type="character" w:styleId="718">
    <w:name w:val="WW8Num19z1"/>
    <w:qFormat/>
    <w:rPr>
      <w:rFonts w:ascii="Courier New" w:hAnsi="Courier New" w:eastAsia="Courier New" w:cs="Courier New"/>
    </w:rPr>
  </w:style>
  <w:style w:type="character" w:styleId="719">
    <w:name w:val="WW8Num19z2"/>
    <w:qFormat/>
    <w:rPr>
      <w:rFonts w:ascii="Wingdings" w:hAnsi="Wingdings" w:eastAsia="Wingdings" w:cs="Wingdings"/>
    </w:rPr>
  </w:style>
  <w:style w:type="character" w:styleId="720">
    <w:name w:val="WW8Num20z0"/>
    <w:qFormat/>
  </w:style>
  <w:style w:type="character" w:styleId="721">
    <w:name w:val="WW8Num21z0"/>
    <w:qFormat/>
    <w:rPr>
      <w:rFonts w:ascii="Symbol" w:hAnsi="Symbol" w:eastAsia="Symbol" w:cs="Symbol"/>
    </w:rPr>
  </w:style>
  <w:style w:type="character" w:styleId="722">
    <w:name w:val="WW8Num21z1"/>
    <w:qFormat/>
    <w:rPr>
      <w:rFonts w:ascii="Courier New" w:hAnsi="Courier New" w:eastAsia="Courier New" w:cs="Courier New"/>
    </w:rPr>
  </w:style>
  <w:style w:type="character" w:styleId="723">
    <w:name w:val="WW8Num21z2"/>
    <w:qFormat/>
    <w:rPr>
      <w:rFonts w:ascii="Wingdings" w:hAnsi="Wingdings" w:eastAsia="Wingdings" w:cs="Wingdings"/>
    </w:rPr>
  </w:style>
  <w:style w:type="character" w:styleId="724">
    <w:name w:val="WW8Num22z0"/>
    <w:qFormat/>
    <w:rPr>
      <w:rFonts w:ascii="Arial" w:hAnsi="Arial" w:eastAsia="Arial" w:cs="Arial"/>
    </w:rPr>
  </w:style>
  <w:style w:type="character" w:styleId="725">
    <w:name w:val="WW8Num22z1"/>
    <w:qFormat/>
    <w:rPr>
      <w:rFonts w:ascii="Courier New" w:hAnsi="Courier New" w:eastAsia="Courier New" w:cs="Courier New"/>
    </w:rPr>
  </w:style>
  <w:style w:type="character" w:styleId="726">
    <w:name w:val="WW8Num22z2"/>
    <w:qFormat/>
    <w:rPr>
      <w:rFonts w:ascii="Wingdings" w:hAnsi="Wingdings" w:eastAsia="Wingdings" w:cs="Wingdings"/>
    </w:rPr>
  </w:style>
  <w:style w:type="character" w:styleId="727">
    <w:name w:val="WW8Num22z3"/>
    <w:qFormat/>
    <w:rPr>
      <w:rFonts w:ascii="Symbol" w:hAnsi="Symbol" w:eastAsia="Symbol" w:cs="Symbol"/>
    </w:rPr>
  </w:style>
  <w:style w:type="character" w:styleId="728">
    <w:name w:val="WW8Num23z0"/>
    <w:qFormat/>
  </w:style>
  <w:style w:type="character" w:styleId="729">
    <w:name w:val="WW8Num24z0"/>
    <w:qFormat/>
  </w:style>
  <w:style w:type="character" w:styleId="730">
    <w:name w:val="WW8Num25z0"/>
    <w:qFormat/>
  </w:style>
  <w:style w:type="character" w:styleId="731">
    <w:name w:val="WW8Num26z0"/>
    <w:qFormat/>
    <w:rPr>
      <w:rFonts w:ascii="Noto Sans Symbols;Calibri" w:hAnsi="Noto Sans Symbols;Calibri" w:eastAsia="Noto Sans Symbols;Calibri" w:cs="Noto Sans Symbols;Calibri"/>
      <w:position w:val="0"/>
      <w:sz w:val="24"/>
      <w:vertAlign w:val="baseline"/>
    </w:rPr>
  </w:style>
  <w:style w:type="character" w:styleId="732">
    <w:name w:val="WW8Num26z1"/>
    <w:qFormat/>
    <w:rPr>
      <w:rFonts w:ascii="Courier New" w:hAnsi="Courier New" w:eastAsia="Courier New" w:cs="Courier New"/>
      <w:position w:val="0"/>
      <w:sz w:val="24"/>
      <w:vertAlign w:val="baseline"/>
    </w:rPr>
  </w:style>
  <w:style w:type="character" w:styleId="733">
    <w:name w:val="WW8Num27z0"/>
    <w:qFormat/>
  </w:style>
  <w:style w:type="character" w:styleId="734">
    <w:name w:val="WW8Num28z0"/>
    <w:qFormat/>
  </w:style>
  <w:style w:type="character" w:styleId="735">
    <w:name w:val="WW8Num30z0"/>
    <w:qFormat/>
    <w:rPr>
      <w:rFonts w:ascii="Noto Sans Symbols;Calibri" w:hAnsi="Noto Sans Symbols;Calibri" w:eastAsia="Noto Sans Symbols;Calibri" w:cs="Noto Sans Symbols;Calibri"/>
      <w:position w:val="0"/>
      <w:sz w:val="24"/>
      <w:vertAlign w:val="baseline"/>
    </w:rPr>
  </w:style>
  <w:style w:type="character" w:styleId="736">
    <w:name w:val="WW8Num30z1"/>
    <w:qFormat/>
    <w:rPr>
      <w:position w:val="0"/>
      <w:sz w:val="24"/>
      <w:vertAlign w:val="baseline"/>
    </w:rPr>
  </w:style>
  <w:style w:type="character" w:styleId="737">
    <w:name w:val="WW8Num31z0"/>
    <w:qFormat/>
  </w:style>
  <w:style w:type="character" w:styleId="738">
    <w:name w:val="WW8Num32z0"/>
    <w:qFormat/>
    <w:rPr>
      <w:rFonts w:ascii="Liberation Sans;Arial" w:hAnsi="Liberation Sans;Arial" w:cs="Liberation Sans;Arial"/>
      <w:b/>
      <w:color w:val="222222"/>
      <w:sz w:val="33"/>
    </w:rPr>
  </w:style>
  <w:style w:type="character" w:styleId="739">
    <w:name w:val="WW8Num33z0"/>
    <w:qFormat/>
  </w:style>
  <w:style w:type="character" w:styleId="740">
    <w:name w:val="WW8Num34z0"/>
    <w:qFormat/>
  </w:style>
  <w:style w:type="character" w:styleId="741">
    <w:name w:val="WW8Num35z0"/>
    <w:qFormat/>
    <w:rPr>
      <w:rFonts w:ascii="Symbol" w:hAnsi="Symbol" w:eastAsia="Symbol" w:cs="Symbol"/>
    </w:rPr>
  </w:style>
  <w:style w:type="character" w:styleId="742">
    <w:name w:val="WW8Num35z1"/>
    <w:qFormat/>
    <w:rPr>
      <w:rFonts w:ascii="Courier New" w:hAnsi="Courier New" w:eastAsia="Courier New" w:cs="Courier New"/>
    </w:rPr>
  </w:style>
  <w:style w:type="character" w:styleId="743">
    <w:name w:val="WW8Num35z2"/>
    <w:qFormat/>
    <w:rPr>
      <w:rFonts w:ascii="Wingdings" w:hAnsi="Wingdings" w:eastAsia="Wingdings" w:cs="Wingdings"/>
    </w:rPr>
  </w:style>
  <w:style w:type="character" w:styleId="744">
    <w:name w:val="WW8Num36z0"/>
    <w:qFormat/>
  </w:style>
  <w:style w:type="character" w:styleId="745">
    <w:name w:val="WW8Num37z0"/>
    <w:qFormat/>
    <w:rPr>
      <w:rFonts w:ascii="Noto Sans Symbols;Calibri" w:hAnsi="Noto Sans Symbols;Calibri" w:eastAsia="Noto Sans Symbols;Calibri" w:cs="Noto Sans Symbols;Calibri"/>
      <w:position w:val="0"/>
      <w:sz w:val="24"/>
      <w:vertAlign w:val="baseline"/>
    </w:rPr>
  </w:style>
  <w:style w:type="character" w:styleId="746">
    <w:name w:val="WW8Num37z1"/>
    <w:qFormat/>
    <w:rPr>
      <w:rFonts w:ascii="Courier New" w:hAnsi="Courier New" w:eastAsia="Courier New" w:cs="Courier New"/>
      <w:position w:val="0"/>
      <w:sz w:val="24"/>
      <w:vertAlign w:val="baseline"/>
    </w:rPr>
  </w:style>
  <w:style w:type="character" w:styleId="747">
    <w:name w:val="WW8Num38z0"/>
    <w:qFormat/>
    <w:rPr>
      <w:rFonts w:ascii="Symbol" w:hAnsi="Symbol" w:cs="Symbol"/>
    </w:rPr>
  </w:style>
  <w:style w:type="character" w:styleId="748">
    <w:name w:val="WW8Num38z1"/>
    <w:qFormat/>
    <w:rPr>
      <w:rFonts w:ascii="Courier New" w:hAnsi="Courier New" w:cs="Courier New"/>
    </w:rPr>
  </w:style>
  <w:style w:type="character" w:styleId="749">
    <w:name w:val="WW8Num38z2"/>
    <w:qFormat/>
    <w:rPr>
      <w:rFonts w:ascii="Wingdings" w:hAnsi="Wingdings" w:cs="Wingdings"/>
    </w:rPr>
  </w:style>
  <w:style w:type="character" w:styleId="750">
    <w:name w:val="WW8Num39z0"/>
    <w:qFormat/>
  </w:style>
  <w:style w:type="character" w:styleId="751">
    <w:name w:val="WW8Num40z0"/>
    <w:qFormat/>
  </w:style>
  <w:style w:type="character" w:styleId="752">
    <w:name w:val="WW8Num41z0"/>
    <w:qFormat/>
  </w:style>
  <w:style w:type="character" w:styleId="753">
    <w:name w:val="WW8Num42z0"/>
    <w:qFormat/>
  </w:style>
  <w:style w:type="character" w:styleId="754">
    <w:name w:val="WW8Num43z0"/>
    <w:qFormat/>
  </w:style>
  <w:style w:type="character" w:styleId="755">
    <w:name w:val="WW8Num44z0"/>
    <w:qFormat/>
    <w:rPr>
      <w:rFonts w:ascii="Calibri" w:hAnsi="Calibri" w:eastAsia="Calibri" w:cs="Calibri"/>
    </w:rPr>
  </w:style>
  <w:style w:type="character" w:styleId="756">
    <w:name w:val="WW8Num45z0"/>
    <w:qFormat/>
    <w:rPr>
      <w:rFonts w:ascii="Symbol" w:hAnsi="Symbol" w:cs="Symbol"/>
    </w:rPr>
  </w:style>
  <w:style w:type="character" w:styleId="757">
    <w:name w:val="WW8Num45z1"/>
    <w:qFormat/>
    <w:rPr>
      <w:rFonts w:ascii="Courier New" w:hAnsi="Courier New" w:cs="Courier New"/>
    </w:rPr>
  </w:style>
  <w:style w:type="character" w:styleId="758">
    <w:name w:val="WW8Num45z2"/>
    <w:qFormat/>
    <w:rPr>
      <w:rFonts w:ascii="Wingdings" w:hAnsi="Wingdings" w:cs="Wingdings"/>
    </w:rPr>
  </w:style>
  <w:style w:type="character" w:styleId="759">
    <w:name w:val="WW8Num46z0"/>
    <w:qFormat/>
  </w:style>
  <w:style w:type="character" w:styleId="760">
    <w:name w:val="Основной шрифт абзаца"/>
    <w:qFormat/>
  </w:style>
  <w:style w:type="character" w:styleId="761">
    <w:name w:val="Heading 1 Char"/>
    <w:qFormat/>
    <w:rPr>
      <w:rFonts w:ascii="Arial" w:hAnsi="Arial" w:eastAsia="Arial" w:cs="Arial"/>
      <w:sz w:val="40"/>
      <w:szCs w:val="40"/>
    </w:rPr>
  </w:style>
  <w:style w:type="character" w:styleId="762">
    <w:name w:val="Heading 2 Char"/>
    <w:qFormat/>
    <w:rPr>
      <w:rFonts w:ascii="Arial" w:hAnsi="Arial" w:eastAsia="Arial" w:cs="Arial"/>
      <w:sz w:val="34"/>
    </w:rPr>
  </w:style>
  <w:style w:type="character" w:styleId="763">
    <w:name w:val="Heading 3 Char"/>
    <w:qFormat/>
    <w:rPr>
      <w:rFonts w:ascii="Arial" w:hAnsi="Arial" w:eastAsia="Arial" w:cs="Arial"/>
      <w:sz w:val="30"/>
      <w:szCs w:val="30"/>
    </w:rPr>
  </w:style>
  <w:style w:type="character" w:styleId="764">
    <w:name w:val="Heading 4 Char"/>
    <w:qFormat/>
    <w:rPr>
      <w:rFonts w:ascii="Arial" w:hAnsi="Arial" w:eastAsia="Arial" w:cs="Arial"/>
      <w:b/>
      <w:bCs/>
      <w:sz w:val="26"/>
      <w:szCs w:val="26"/>
    </w:rPr>
  </w:style>
  <w:style w:type="character" w:styleId="765">
    <w:name w:val="Heading 5 Char"/>
    <w:qFormat/>
    <w:rPr>
      <w:rFonts w:ascii="Arial" w:hAnsi="Arial" w:eastAsia="Arial" w:cs="Arial"/>
      <w:b/>
      <w:bCs/>
      <w:sz w:val="24"/>
      <w:szCs w:val="24"/>
    </w:rPr>
  </w:style>
  <w:style w:type="character" w:styleId="766">
    <w:name w:val="Heading 6 Char"/>
    <w:qFormat/>
    <w:rPr>
      <w:rFonts w:ascii="Arial" w:hAnsi="Arial" w:eastAsia="Arial" w:cs="Arial"/>
      <w:b/>
      <w:bCs/>
      <w:sz w:val="22"/>
      <w:szCs w:val="22"/>
    </w:rPr>
  </w:style>
  <w:style w:type="character" w:styleId="767">
    <w:name w:val="Heading 7 Char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68">
    <w:name w:val="Heading 8 Char"/>
    <w:qFormat/>
    <w:rPr>
      <w:rFonts w:ascii="Arial" w:hAnsi="Arial" w:eastAsia="Arial" w:cs="Arial"/>
      <w:i/>
      <w:iCs/>
      <w:sz w:val="22"/>
      <w:szCs w:val="22"/>
    </w:rPr>
  </w:style>
  <w:style w:type="character" w:styleId="769">
    <w:name w:val="Heading 9 Char"/>
    <w:qFormat/>
    <w:rPr>
      <w:rFonts w:ascii="Arial" w:hAnsi="Arial" w:eastAsia="Arial" w:cs="Arial"/>
      <w:i/>
      <w:iCs/>
      <w:sz w:val="21"/>
      <w:szCs w:val="21"/>
    </w:rPr>
  </w:style>
  <w:style w:type="character" w:styleId="770">
    <w:name w:val="Title Char"/>
    <w:qFormat/>
    <w:rPr>
      <w:sz w:val="48"/>
      <w:szCs w:val="48"/>
    </w:rPr>
  </w:style>
  <w:style w:type="character" w:styleId="771">
    <w:name w:val="Subtitle Char"/>
    <w:qFormat/>
    <w:rPr>
      <w:sz w:val="24"/>
      <w:szCs w:val="24"/>
    </w:rPr>
  </w:style>
  <w:style w:type="character" w:styleId="772">
    <w:name w:val="Quote Char"/>
    <w:qFormat/>
    <w:rPr>
      <w:i/>
    </w:rPr>
  </w:style>
  <w:style w:type="character" w:styleId="773">
    <w:name w:val="Intense Quote Char"/>
    <w:qFormat/>
    <w:rPr>
      <w:i/>
    </w:rPr>
  </w:style>
  <w:style w:type="character" w:styleId="774">
    <w:name w:val="Footnote Text Char"/>
    <w:qFormat/>
    <w:rPr>
      <w:sz w:val="18"/>
    </w:rPr>
  </w:style>
  <w:style w:type="character" w:styleId="775">
    <w:name w:val="Endnote Text Char"/>
    <w:qFormat/>
    <w:rPr>
      <w:sz w:val="20"/>
    </w:rPr>
  </w:style>
  <w:style w:type="character" w:styleId="776">
    <w:name w:val="Заголовок 1 Знак"/>
    <w:qFormat/>
    <w:rPr>
      <w:rFonts w:ascii="Arial" w:hAnsi="Arial" w:eastAsia="Arial" w:cs="Arial"/>
      <w:sz w:val="40"/>
      <w:szCs w:val="40"/>
    </w:rPr>
  </w:style>
  <w:style w:type="character" w:styleId="777">
    <w:name w:val="Заголовок 2 Знак"/>
    <w:qFormat/>
    <w:rPr>
      <w:rFonts w:ascii="Arial" w:hAnsi="Arial" w:eastAsia="Arial" w:cs="Arial"/>
      <w:sz w:val="34"/>
    </w:rPr>
  </w:style>
  <w:style w:type="character" w:styleId="778">
    <w:name w:val="Заголовок 3 Знак"/>
    <w:qFormat/>
    <w:rPr>
      <w:rFonts w:ascii="Arial" w:hAnsi="Arial" w:eastAsia="Arial" w:cs="Arial"/>
      <w:sz w:val="30"/>
      <w:szCs w:val="30"/>
    </w:rPr>
  </w:style>
  <w:style w:type="character" w:styleId="779">
    <w:name w:val="Заголовок 4 Знак"/>
    <w:qFormat/>
    <w:rPr>
      <w:rFonts w:ascii="Arial" w:hAnsi="Arial" w:eastAsia="Arial" w:cs="Arial"/>
      <w:b/>
      <w:bCs/>
      <w:sz w:val="26"/>
      <w:szCs w:val="26"/>
    </w:rPr>
  </w:style>
  <w:style w:type="character" w:styleId="780">
    <w:name w:val="Заголовок 5 Знак"/>
    <w:qFormat/>
    <w:rPr>
      <w:rFonts w:ascii="Arial" w:hAnsi="Arial" w:eastAsia="Arial" w:cs="Arial"/>
      <w:b/>
      <w:bCs/>
      <w:sz w:val="24"/>
      <w:szCs w:val="24"/>
    </w:rPr>
  </w:style>
  <w:style w:type="character" w:styleId="781">
    <w:name w:val="Заголовок 6 Знак"/>
    <w:qFormat/>
    <w:rPr>
      <w:rFonts w:ascii="Arial" w:hAnsi="Arial" w:eastAsia="Arial" w:cs="Arial"/>
      <w:b/>
      <w:bCs/>
      <w:sz w:val="22"/>
      <w:szCs w:val="22"/>
    </w:rPr>
  </w:style>
  <w:style w:type="character" w:styleId="782">
    <w:name w:val="Заголовок 7 Знак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83">
    <w:name w:val="Заголовок 8 Знак"/>
    <w:qFormat/>
    <w:rPr>
      <w:rFonts w:ascii="Arial" w:hAnsi="Arial" w:eastAsia="Arial" w:cs="Arial"/>
      <w:i/>
      <w:iCs/>
      <w:sz w:val="22"/>
      <w:szCs w:val="22"/>
    </w:rPr>
  </w:style>
  <w:style w:type="character" w:styleId="784">
    <w:name w:val="Заголовок 9 Знак"/>
    <w:qFormat/>
    <w:rPr>
      <w:rFonts w:ascii="Arial" w:hAnsi="Arial" w:eastAsia="Arial" w:cs="Arial"/>
      <w:i/>
      <w:iCs/>
      <w:sz w:val="21"/>
      <w:szCs w:val="21"/>
    </w:rPr>
  </w:style>
  <w:style w:type="character" w:styleId="785">
    <w:name w:val="Заголовок Знак"/>
    <w:qFormat/>
    <w:rPr>
      <w:sz w:val="48"/>
      <w:szCs w:val="48"/>
    </w:rPr>
  </w:style>
  <w:style w:type="character" w:styleId="786">
    <w:name w:val="Подзаголовок Знак"/>
    <w:qFormat/>
    <w:rPr>
      <w:sz w:val="24"/>
      <w:szCs w:val="24"/>
    </w:rPr>
  </w:style>
  <w:style w:type="character" w:styleId="787">
    <w:name w:val="Цитата 2 Знак"/>
    <w:qFormat/>
    <w:rPr>
      <w:i/>
    </w:rPr>
  </w:style>
  <w:style w:type="character" w:styleId="788">
    <w:name w:val="Выделенная цитата Знак"/>
    <w:qFormat/>
    <w:rPr>
      <w:i/>
    </w:rPr>
  </w:style>
  <w:style w:type="character" w:styleId="789">
    <w:name w:val="Header Char"/>
    <w:basedOn w:val="760"/>
    <w:qFormat/>
  </w:style>
  <w:style w:type="character" w:styleId="790">
    <w:name w:val="Footer Char"/>
    <w:basedOn w:val="760"/>
    <w:qFormat/>
  </w:style>
  <w:style w:type="character" w:styleId="791">
    <w:name w:val="Caption Char"/>
    <w:qFormat/>
  </w:style>
  <w:style w:type="character" w:styleId="792">
    <w:name w:val="Hyperlink"/>
    <w:rPr>
      <w:color w:val="0563c1"/>
      <w:u w:val="single"/>
    </w:rPr>
  </w:style>
  <w:style w:type="character" w:styleId="793">
    <w:name w:val="Текст сноски Знак"/>
    <w:qFormat/>
    <w:rPr>
      <w:sz w:val="18"/>
    </w:rPr>
  </w:style>
  <w:style w:type="character" w:styleId="794">
    <w:name w:val="Footnote Characters"/>
    <w:qFormat/>
    <w:rPr>
      <w:vertAlign w:val="superscript"/>
    </w:rPr>
  </w:style>
  <w:style w:type="character" w:styleId="795">
    <w:name w:val="Текст концевой сноски Знак"/>
    <w:qFormat/>
    <w:rPr>
      <w:sz w:val="20"/>
    </w:rPr>
  </w:style>
  <w:style w:type="character" w:styleId="796">
    <w:name w:val="Endnote Characters"/>
    <w:qFormat/>
    <w:rPr>
      <w:vertAlign w:val="superscript"/>
    </w:rPr>
  </w:style>
  <w:style w:type="character" w:styleId="797">
    <w:name w:val="Нижний колонтитул Знак"/>
    <w:basedOn w:val="760"/>
    <w:qFormat/>
  </w:style>
  <w:style w:type="character" w:styleId="798">
    <w:name w:val="Верхний колонтитул Знак"/>
    <w:basedOn w:val="760"/>
    <w:qFormat/>
  </w:style>
  <w:style w:type="paragraph" w:styleId="799">
    <w:name w:val="Heading"/>
    <w:basedOn w:val="685"/>
    <w:next w:val="685"/>
    <w:qFormat/>
    <w:pPr>
      <w:contextualSpacing/>
      <w:spacing w:before="300" w:after="200"/>
    </w:pPr>
    <w:rPr>
      <w:sz w:val="48"/>
      <w:szCs w:val="48"/>
      <w:lang w:val="en-US"/>
    </w:rPr>
  </w:style>
  <w:style w:type="paragraph" w:styleId="800">
    <w:name w:val="Body Text"/>
    <w:basedOn w:val="685"/>
    <w:pPr>
      <w:spacing w:before="0" w:after="140" w:line="276" w:lineRule="auto"/>
    </w:pPr>
  </w:style>
  <w:style w:type="paragraph" w:styleId="801">
    <w:name w:val="List"/>
    <w:basedOn w:val="800"/>
  </w:style>
  <w:style w:type="paragraph" w:styleId="802">
    <w:name w:val="Caption"/>
    <w:basedOn w:val="685"/>
    <w:qFormat/>
    <w:pPr>
      <w:spacing w:before="120" w:after="120"/>
      <w:suppressLineNumbers/>
    </w:pPr>
    <w:rPr>
      <w:i/>
      <w:iCs/>
      <w:sz w:val="24"/>
      <w:szCs w:val="24"/>
    </w:rPr>
  </w:style>
  <w:style w:type="paragraph" w:styleId="803">
    <w:name w:val="Index"/>
    <w:basedOn w:val="685"/>
    <w:qFormat/>
    <w:pPr>
      <w:suppressLineNumbers/>
    </w:pPr>
  </w:style>
  <w:style w:type="paragraph" w:styleId="804">
    <w:name w:val="Без интервала"/>
    <w:qFormat/>
    <w:pPr>
      <w:widowControl/>
    </w:pPr>
    <w:rPr>
      <w:rFonts w:ascii="Calibri" w:hAnsi="Calibri" w:eastAsia="Calibri" w:cs="Times New Roman"/>
      <w:color w:val="auto"/>
      <w:sz w:val="22"/>
      <w:szCs w:val="22"/>
      <w:lang w:val="ru-RU" w:eastAsia="zh-CN" w:bidi="ar-SA"/>
    </w:rPr>
  </w:style>
  <w:style w:type="paragraph" w:styleId="805">
    <w:name w:val="Subtitle"/>
    <w:basedOn w:val="685"/>
    <w:next w:val="685"/>
    <w:qFormat/>
    <w:pPr>
      <w:spacing w:before="200" w:after="200"/>
    </w:pPr>
    <w:rPr>
      <w:sz w:val="24"/>
      <w:szCs w:val="24"/>
      <w:lang w:val="en-US"/>
    </w:rPr>
  </w:style>
  <w:style w:type="paragraph" w:styleId="806">
    <w:name w:val="Цитата 2"/>
    <w:basedOn w:val="685"/>
    <w:next w:val="685"/>
    <w:qFormat/>
    <w:pPr>
      <w:ind w:left="720" w:right="720" w:firstLine="0"/>
    </w:pPr>
    <w:rPr>
      <w:i/>
      <w:sz w:val="20"/>
      <w:szCs w:val="20"/>
      <w:lang w:val="en-US"/>
    </w:rPr>
  </w:style>
  <w:style w:type="paragraph" w:styleId="807">
    <w:name w:val="Выделенная цитата"/>
    <w:basedOn w:val="685"/>
    <w:next w:val="685"/>
    <w:qFormat/>
    <w:pPr>
      <w:ind w:left="720" w:right="720" w:firstLine="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  <w:sz w:val="20"/>
      <w:szCs w:val="20"/>
      <w:lang w:val="en-US"/>
    </w:rPr>
  </w:style>
  <w:style w:type="paragraph" w:styleId="808">
    <w:name w:val="Название объекта"/>
    <w:basedOn w:val="685"/>
    <w:next w:val="685"/>
    <w:qFormat/>
    <w:pPr>
      <w:spacing w:line="276" w:lineRule="auto"/>
    </w:pPr>
    <w:rPr>
      <w:b/>
      <w:bCs/>
      <w:color w:val="4472c4"/>
      <w:sz w:val="18"/>
      <w:szCs w:val="18"/>
    </w:rPr>
  </w:style>
  <w:style w:type="paragraph" w:styleId="809">
    <w:name w:val="footnote text"/>
    <w:basedOn w:val="685"/>
    <w:pPr>
      <w:spacing w:before="0" w:after="40" w:line="240" w:lineRule="auto"/>
    </w:pPr>
    <w:rPr>
      <w:sz w:val="18"/>
      <w:szCs w:val="20"/>
      <w:lang w:val="en-US"/>
    </w:rPr>
  </w:style>
  <w:style w:type="paragraph" w:styleId="810">
    <w:name w:val="endnote text"/>
    <w:basedOn w:val="685"/>
    <w:pPr>
      <w:spacing w:before="0" w:after="0" w:line="240" w:lineRule="auto"/>
    </w:pPr>
    <w:rPr>
      <w:sz w:val="20"/>
      <w:szCs w:val="20"/>
      <w:lang w:val="en-US"/>
    </w:rPr>
  </w:style>
  <w:style w:type="paragraph" w:styleId="811">
    <w:name w:val="toc 1"/>
    <w:basedOn w:val="685"/>
    <w:next w:val="685"/>
    <w:pPr>
      <w:spacing w:before="0" w:after="57"/>
    </w:pPr>
  </w:style>
  <w:style w:type="paragraph" w:styleId="812">
    <w:name w:val="toc 2"/>
    <w:basedOn w:val="685"/>
    <w:next w:val="685"/>
    <w:pPr>
      <w:ind w:left="283" w:right="0" w:firstLine="0"/>
      <w:spacing w:before="0" w:after="57"/>
    </w:pPr>
  </w:style>
  <w:style w:type="paragraph" w:styleId="813">
    <w:name w:val="toc 3"/>
    <w:basedOn w:val="685"/>
    <w:next w:val="685"/>
    <w:pPr>
      <w:ind w:left="567" w:right="0" w:firstLine="0"/>
      <w:spacing w:before="0" w:after="57"/>
    </w:pPr>
  </w:style>
  <w:style w:type="paragraph" w:styleId="814">
    <w:name w:val="toc 4"/>
    <w:basedOn w:val="685"/>
    <w:next w:val="685"/>
    <w:pPr>
      <w:ind w:left="850" w:right="0" w:firstLine="0"/>
      <w:spacing w:before="0" w:after="57"/>
    </w:pPr>
  </w:style>
  <w:style w:type="paragraph" w:styleId="815">
    <w:name w:val="toc 5"/>
    <w:basedOn w:val="685"/>
    <w:next w:val="685"/>
    <w:pPr>
      <w:ind w:left="1134" w:right="0" w:firstLine="0"/>
      <w:spacing w:before="0" w:after="57"/>
    </w:pPr>
  </w:style>
  <w:style w:type="paragraph" w:styleId="816">
    <w:name w:val="toc 6"/>
    <w:basedOn w:val="685"/>
    <w:next w:val="685"/>
    <w:pPr>
      <w:ind w:left="1417" w:right="0" w:firstLine="0"/>
      <w:spacing w:before="0" w:after="57"/>
    </w:pPr>
  </w:style>
  <w:style w:type="paragraph" w:styleId="817">
    <w:name w:val="toc 7"/>
    <w:basedOn w:val="685"/>
    <w:next w:val="685"/>
    <w:pPr>
      <w:ind w:left="1701" w:right="0" w:firstLine="0"/>
      <w:spacing w:before="0" w:after="57"/>
    </w:pPr>
  </w:style>
  <w:style w:type="paragraph" w:styleId="818">
    <w:name w:val="toc 8"/>
    <w:basedOn w:val="685"/>
    <w:next w:val="685"/>
    <w:pPr>
      <w:ind w:left="1984" w:right="0" w:firstLine="0"/>
      <w:spacing w:before="0" w:after="57"/>
    </w:pPr>
  </w:style>
  <w:style w:type="paragraph" w:styleId="819">
    <w:name w:val="toc 9"/>
    <w:basedOn w:val="685"/>
    <w:next w:val="685"/>
    <w:pPr>
      <w:ind w:left="2268" w:right="0" w:firstLine="0"/>
      <w:spacing w:before="0" w:after="57"/>
    </w:pPr>
  </w:style>
  <w:style w:type="paragraph" w:styleId="820">
    <w:name w:val="Заголовок оглавления"/>
    <w:qFormat/>
    <w:pPr>
      <w:spacing w:before="0" w:after="160" w:line="256" w:lineRule="auto"/>
      <w:widowControl/>
    </w:pPr>
    <w:rPr>
      <w:rFonts w:ascii="Calibri" w:hAnsi="Calibri" w:eastAsia="Calibri" w:cs="Times New Roman"/>
      <w:color w:val="auto"/>
      <w:sz w:val="22"/>
      <w:szCs w:val="22"/>
      <w:lang w:val="ru-RU" w:eastAsia="zh-CN" w:bidi="ar-SA"/>
    </w:rPr>
  </w:style>
  <w:style w:type="paragraph" w:styleId="821">
    <w:name w:val="Перечень рисунков"/>
    <w:basedOn w:val="685"/>
    <w:next w:val="685"/>
    <w:qFormat/>
    <w:pPr>
      <w:spacing w:before="0" w:after="0"/>
    </w:pPr>
  </w:style>
  <w:style w:type="paragraph" w:styleId="822">
    <w:name w:val="Абзац списка"/>
    <w:basedOn w:val="685"/>
    <w:qFormat/>
    <w:pPr>
      <w:contextualSpacing/>
      <w:ind w:left="720" w:right="0" w:firstLine="0"/>
      <w:spacing w:before="0" w:after="160"/>
    </w:pPr>
  </w:style>
  <w:style w:type="paragraph" w:styleId="823">
    <w:name w:val="Header and Footer"/>
    <w:basedOn w:val="685"/>
    <w:qFormat/>
    <w:pPr>
      <w:tabs>
        <w:tab w:val="clear" w:pos="708" w:leader="none"/>
        <w:tab w:val="center" w:pos="4819" w:leader="none"/>
        <w:tab w:val="right" w:pos="9638" w:leader="none"/>
      </w:tabs>
      <w:suppressLineNumbers/>
    </w:pPr>
  </w:style>
  <w:style w:type="paragraph" w:styleId="824">
    <w:name w:val="Footer"/>
    <w:basedOn w:val="685"/>
    <w:pPr>
      <w:spacing w:before="0" w:after="0" w:line="240" w:lineRule="auto"/>
    </w:pPr>
  </w:style>
  <w:style w:type="paragraph" w:styleId="825">
    <w:name w:val="Обычный (Интернет)"/>
    <w:basedOn w:val="685"/>
    <w:qFormat/>
    <w:pPr>
      <w:spacing w:before="280" w:after="28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826">
    <w:name w:val="Header"/>
    <w:basedOn w:val="685"/>
    <w:pPr>
      <w:spacing w:before="0" w:after="0" w:line="240" w:lineRule="auto"/>
    </w:pPr>
  </w:style>
  <w:style w:type="paragraph" w:styleId="827">
    <w:name w:val="Standard"/>
    <w:qFormat/>
    <w:pPr>
      <w:widowControl/>
    </w:pPr>
    <w:rPr>
      <w:rFonts w:ascii="Times New Roman" w:hAnsi="Times New Roman" w:eastAsia="Lucida Sans Unicode" w:cs="Tahoma"/>
      <w:color w:val="auto"/>
      <w:sz w:val="28"/>
      <w:szCs w:val="24"/>
      <w:lang w:val="ru-RU" w:eastAsia="zh-CN" w:bidi="hi-IN"/>
    </w:rPr>
  </w:style>
  <w:style w:type="paragraph" w:styleId="828">
    <w:name w:val="Body 1"/>
    <w:qFormat/>
    <w:pPr>
      <w:widowControl/>
    </w:pPr>
    <w:rPr>
      <w:rFonts w:ascii="Helvetica" w:hAnsi="Helvetica" w:eastAsia="ヒラギノ角ゴ Pro W3;Wingdings 3" w:cs="Helvetica"/>
      <w:color w:val="000000"/>
      <w:sz w:val="24"/>
      <w:szCs w:val="20"/>
      <w:lang w:val="en-US" w:eastAsia="zh-CN" w:bidi="ar-SA"/>
    </w:rPr>
  </w:style>
  <w:style w:type="paragraph" w:styleId="829">
    <w:name w:val="Frame Contents"/>
    <w:basedOn w:val="685"/>
    <w:qFormat/>
  </w:style>
  <w:style w:type="paragraph" w:styleId="830">
    <w:name w:val="Table Contents"/>
    <w:basedOn w:val="685"/>
    <w:qFormat/>
    <w:pPr>
      <w:widowControl w:val="off"/>
      <w:suppressLineNumbers/>
    </w:pPr>
  </w:style>
  <w:style w:type="paragraph" w:styleId="831">
    <w:name w:val="Table Heading"/>
    <w:basedOn w:val="830"/>
    <w:qFormat/>
    <w:pPr>
      <w:jc w:val="center"/>
      <w:suppressLineNumbers/>
    </w:pPr>
    <w:rPr>
      <w:b/>
      <w:bCs/>
    </w:rPr>
  </w:style>
  <w:style w:type="numbering" w:styleId="832">
    <w:name w:val="WW8Num1"/>
    <w:qFormat/>
  </w:style>
  <w:style w:type="numbering" w:styleId="833">
    <w:name w:val="WW8Num2"/>
    <w:qFormat/>
  </w:style>
  <w:style w:type="numbering" w:styleId="834">
    <w:name w:val="WW8Num3"/>
    <w:qFormat/>
  </w:style>
  <w:style w:type="numbering" w:styleId="835">
    <w:name w:val="WW8Num4"/>
    <w:qFormat/>
  </w:style>
  <w:style w:type="numbering" w:styleId="836">
    <w:name w:val="WW8Num5"/>
    <w:qFormat/>
  </w:style>
  <w:style w:type="numbering" w:styleId="837">
    <w:name w:val="WW8Num6"/>
    <w:qFormat/>
  </w:style>
  <w:style w:type="numbering" w:styleId="838">
    <w:name w:val="WW8Num7"/>
    <w:qFormat/>
  </w:style>
  <w:style w:type="numbering" w:styleId="839">
    <w:name w:val="WW8Num8"/>
    <w:qFormat/>
  </w:style>
  <w:style w:type="numbering" w:styleId="840">
    <w:name w:val="WW8Num9"/>
    <w:qFormat/>
  </w:style>
  <w:style w:type="numbering" w:styleId="841">
    <w:name w:val="WW8Num10"/>
    <w:qFormat/>
  </w:style>
  <w:style w:type="numbering" w:styleId="842">
    <w:name w:val="WW8Num11"/>
    <w:qFormat/>
  </w:style>
  <w:style w:type="numbering" w:styleId="843">
    <w:name w:val="WW8Num12"/>
    <w:qFormat/>
  </w:style>
  <w:style w:type="numbering" w:styleId="844">
    <w:name w:val="WW8Num13"/>
    <w:qFormat/>
  </w:style>
  <w:style w:type="numbering" w:styleId="845">
    <w:name w:val="WW8Num14"/>
    <w:qFormat/>
  </w:style>
  <w:style w:type="numbering" w:styleId="846">
    <w:name w:val="WW8Num15"/>
    <w:qFormat/>
  </w:style>
  <w:style w:type="numbering" w:styleId="847">
    <w:name w:val="WW8Num16"/>
    <w:qFormat/>
  </w:style>
  <w:style w:type="numbering" w:styleId="848">
    <w:name w:val="WW8Num17"/>
    <w:qFormat/>
  </w:style>
  <w:style w:type="numbering" w:styleId="849">
    <w:name w:val="WW8Num18"/>
    <w:qFormat/>
  </w:style>
  <w:style w:type="numbering" w:styleId="850">
    <w:name w:val="WW8Num19"/>
    <w:qFormat/>
  </w:style>
  <w:style w:type="numbering" w:styleId="851">
    <w:name w:val="WW8Num20"/>
    <w:qFormat/>
  </w:style>
  <w:style w:type="numbering" w:styleId="852">
    <w:name w:val="WW8Num21"/>
    <w:qFormat/>
  </w:style>
  <w:style w:type="numbering" w:styleId="853">
    <w:name w:val="WW8Num22"/>
    <w:qFormat/>
  </w:style>
  <w:style w:type="numbering" w:styleId="854">
    <w:name w:val="WW8Num23"/>
    <w:qFormat/>
  </w:style>
  <w:style w:type="numbering" w:styleId="855">
    <w:name w:val="WW8Num24"/>
    <w:qFormat/>
  </w:style>
  <w:style w:type="numbering" w:styleId="856">
    <w:name w:val="WW8Num25"/>
    <w:qFormat/>
  </w:style>
  <w:style w:type="numbering" w:styleId="857">
    <w:name w:val="WW8Num26"/>
    <w:qFormat/>
  </w:style>
  <w:style w:type="numbering" w:styleId="858">
    <w:name w:val="WW8Num27"/>
    <w:qFormat/>
  </w:style>
  <w:style w:type="numbering" w:styleId="859">
    <w:name w:val="WW8Num28"/>
    <w:qFormat/>
  </w:style>
  <w:style w:type="numbering" w:styleId="860">
    <w:name w:val="WW8Num29"/>
    <w:qFormat/>
  </w:style>
  <w:style w:type="numbering" w:styleId="861">
    <w:name w:val="WW8Num30"/>
    <w:qFormat/>
  </w:style>
  <w:style w:type="numbering" w:styleId="862">
    <w:name w:val="WW8Num31"/>
    <w:qFormat/>
  </w:style>
  <w:style w:type="numbering" w:styleId="863">
    <w:name w:val="WW8Num32"/>
    <w:qFormat/>
  </w:style>
  <w:style w:type="numbering" w:styleId="864">
    <w:name w:val="WW8Num33"/>
    <w:qFormat/>
  </w:style>
  <w:style w:type="numbering" w:styleId="865">
    <w:name w:val="WW8Num34"/>
    <w:qFormat/>
  </w:style>
  <w:style w:type="numbering" w:styleId="866">
    <w:name w:val="WW8Num35"/>
    <w:qFormat/>
  </w:style>
  <w:style w:type="numbering" w:styleId="867">
    <w:name w:val="WW8Num36"/>
    <w:qFormat/>
  </w:style>
  <w:style w:type="numbering" w:styleId="868">
    <w:name w:val="WW8Num37"/>
    <w:qFormat/>
  </w:style>
  <w:style w:type="numbering" w:styleId="869">
    <w:name w:val="WW8Num38"/>
    <w:qFormat/>
  </w:style>
  <w:style w:type="numbering" w:styleId="870">
    <w:name w:val="WW8Num39"/>
    <w:qFormat/>
  </w:style>
  <w:style w:type="numbering" w:styleId="871">
    <w:name w:val="WW8Num40"/>
    <w:qFormat/>
  </w:style>
  <w:style w:type="numbering" w:styleId="872">
    <w:name w:val="WW8Num41"/>
    <w:qFormat/>
  </w:style>
  <w:style w:type="numbering" w:styleId="873">
    <w:name w:val="WW8Num42"/>
    <w:qFormat/>
  </w:style>
  <w:style w:type="numbering" w:styleId="874">
    <w:name w:val="WW8Num43"/>
    <w:qFormat/>
  </w:style>
  <w:style w:type="numbering" w:styleId="875">
    <w:name w:val="WW8Num44"/>
    <w:qFormat/>
  </w:style>
  <w:style w:type="numbering" w:styleId="876">
    <w:name w:val="WW8Num45"/>
    <w:qFormat/>
  </w:style>
  <w:style w:type="numbering" w:styleId="877">
    <w:name w:val="WW8Num46"/>
    <w:qFormat/>
  </w:style>
  <w:style w:type="character" w:styleId="3409" w:default="1">
    <w:name w:val="Default Paragraph Font"/>
    <w:uiPriority w:val="1"/>
    <w:semiHidden/>
    <w:unhideWhenUsed/>
  </w:style>
  <w:style w:type="numbering" w:styleId="3410" w:default="1">
    <w:name w:val="No List"/>
    <w:uiPriority w:val="99"/>
    <w:semiHidden/>
    <w:unhideWhenUsed/>
  </w:style>
  <w:style w:type="table" w:styleId="3411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Relationship Id="rId11" Type="http://schemas.openxmlformats.org/officeDocument/2006/relationships/footer" Target="footer3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 name="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dc:language>en-US</dc:language>
  <cp:lastModifiedBy>Maria Vetrenko</cp:lastModifiedBy>
  <cp:revision>20</cp:revision>
  <dcterms:created xsi:type="dcterms:W3CDTF">2024-10-11T11:25:00Z</dcterms:created>
  <dcterms:modified xsi:type="dcterms:W3CDTF">2026-08-27T11:55:48Z</dcterms:modified>
</cp:coreProperties>
</file>